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3A191" w14:textId="5B118FAD" w:rsidR="00317A78" w:rsidRDefault="00317A78" w:rsidP="00317A78">
      <w:pPr>
        <w:pStyle w:val="Nzev"/>
      </w:pPr>
      <w:r w:rsidRPr="009329C4">
        <w:t>SMLOUVA</w:t>
      </w:r>
      <w:r w:rsidR="00F36610">
        <w:t xml:space="preserve"> O SPOLUPRÁCI</w:t>
      </w:r>
    </w:p>
    <w:p w14:paraId="563A0A3F" w14:textId="22D9570B" w:rsidR="00E860B4" w:rsidRDefault="00F36610" w:rsidP="00317A78">
      <w:pPr>
        <w:spacing w:after="0"/>
        <w:jc w:val="center"/>
      </w:pPr>
      <w:r>
        <w:t xml:space="preserve">ZAJIŠTĚNÍ </w:t>
      </w:r>
      <w:r w:rsidR="00E860B4" w:rsidRPr="00E860B4">
        <w:t>ODBORN</w:t>
      </w:r>
      <w:r>
        <w:t>É</w:t>
      </w:r>
      <w:r w:rsidR="00E860B4" w:rsidRPr="00E860B4">
        <w:t xml:space="preserve"> POMOC</w:t>
      </w:r>
      <w:r>
        <w:t>I</w:t>
      </w:r>
      <w:r w:rsidR="00E860B4" w:rsidRPr="00E860B4">
        <w:t xml:space="preserve"> </w:t>
      </w:r>
      <w:r w:rsidR="00197056">
        <w:t>PŘI</w:t>
      </w:r>
      <w:r w:rsidR="00E860B4" w:rsidRPr="00E860B4">
        <w:t xml:space="preserve"> SPR</w:t>
      </w:r>
      <w:r w:rsidR="00E860B4">
        <w:t>Á</w:t>
      </w:r>
      <w:r w:rsidR="00E860B4" w:rsidRPr="00E860B4">
        <w:t>V</w:t>
      </w:r>
      <w:r w:rsidR="00197056">
        <w:t>Ě</w:t>
      </w:r>
      <w:r w:rsidR="00E860B4" w:rsidRPr="00E860B4">
        <w:t xml:space="preserve"> INTEGROVAN</w:t>
      </w:r>
      <w:r w:rsidR="00E860B4">
        <w:t>É</w:t>
      </w:r>
      <w:r w:rsidR="00E860B4" w:rsidRPr="00E860B4">
        <w:t>HO S</w:t>
      </w:r>
      <w:bookmarkStart w:id="0" w:name="_GoBack"/>
      <w:bookmarkEnd w:id="0"/>
      <w:r w:rsidR="00E860B4" w:rsidRPr="00E860B4">
        <w:t>YST</w:t>
      </w:r>
      <w:r w:rsidR="00E860B4">
        <w:t>É</w:t>
      </w:r>
      <w:r w:rsidR="00E860B4" w:rsidRPr="00E860B4">
        <w:t xml:space="preserve">MU </w:t>
      </w:r>
      <w:r w:rsidR="00E860B4">
        <w:t>ŘÍ</w:t>
      </w:r>
      <w:r w:rsidR="00E860B4" w:rsidRPr="00E860B4">
        <w:t>ZEN</w:t>
      </w:r>
      <w:r w:rsidR="00E860B4">
        <w:t>Í</w:t>
      </w:r>
    </w:p>
    <w:p w14:paraId="0BA7F32C" w14:textId="77777777" w:rsidR="00317A78" w:rsidRDefault="00317A78" w:rsidP="00317A78">
      <w:pPr>
        <w:spacing w:after="0"/>
        <w:jc w:val="center"/>
      </w:pPr>
      <w:r>
        <w:t>uzavřená dle</w:t>
      </w:r>
      <w:r w:rsidR="00E61B7F">
        <w:t xml:space="preserve"> </w:t>
      </w:r>
      <w:r>
        <w:t>§ 2079 a násl. zákona č. 89/2012 Sb., občanský zákoník</w:t>
      </w:r>
    </w:p>
    <w:p w14:paraId="4528A21F" w14:textId="4C8179AF" w:rsidR="00317A78" w:rsidRDefault="00317A78" w:rsidP="00317A78">
      <w:pPr>
        <w:spacing w:after="0"/>
        <w:jc w:val="center"/>
      </w:pPr>
      <w:r>
        <w:t xml:space="preserve">a dle§ 31 a 158 zákona č. 134/2016 Sb., o zadávání veřejných zakázek, </w:t>
      </w:r>
      <w:r w:rsidR="00C15391" w:rsidRPr="00C15391">
        <w:t>ve znění pozdějších předpisů</w:t>
      </w:r>
    </w:p>
    <w:p w14:paraId="42E04F83" w14:textId="77777777" w:rsidR="00317A78" w:rsidRDefault="00317A78" w:rsidP="00317A78">
      <w:pPr>
        <w:spacing w:after="0"/>
        <w:jc w:val="center"/>
      </w:pPr>
    </w:p>
    <w:p w14:paraId="32571CAC" w14:textId="77777777" w:rsidR="00317A78" w:rsidRDefault="00317A78" w:rsidP="00317A78">
      <w:pPr>
        <w:spacing w:after="0"/>
        <w:jc w:val="center"/>
      </w:pPr>
    </w:p>
    <w:p w14:paraId="52F3C248" w14:textId="77777777" w:rsidR="00317A78" w:rsidRPr="0039014A" w:rsidRDefault="00317A78" w:rsidP="00317A78">
      <w:pPr>
        <w:pStyle w:val="Odstavecseseznamem"/>
        <w:numPr>
          <w:ilvl w:val="0"/>
          <w:numId w:val="7"/>
        </w:numPr>
        <w:spacing w:after="0"/>
        <w:ind w:left="0" w:firstLine="0"/>
        <w:jc w:val="center"/>
        <w:rPr>
          <w:b/>
        </w:rPr>
      </w:pPr>
      <w:r w:rsidRPr="0039014A">
        <w:rPr>
          <w:b/>
        </w:rPr>
        <w:t>Smluvní strany</w:t>
      </w:r>
    </w:p>
    <w:p w14:paraId="6C712F27" w14:textId="77777777" w:rsidR="00317A78" w:rsidRDefault="00317A78" w:rsidP="00317A78">
      <w:pPr>
        <w:pStyle w:val="Odstavecseseznamem"/>
        <w:spacing w:after="0"/>
        <w:ind w:left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317A78" w:rsidRPr="005A3EC4" w14:paraId="7445A7E2" w14:textId="77777777" w:rsidTr="005A3EC4">
        <w:tc>
          <w:tcPr>
            <w:tcW w:w="3261" w:type="dxa"/>
            <w:shd w:val="clear" w:color="auto" w:fill="auto"/>
          </w:tcPr>
          <w:p w14:paraId="4D2AD3B1" w14:textId="77777777" w:rsidR="00317A78" w:rsidRPr="005A3EC4" w:rsidRDefault="001C268B" w:rsidP="005A3EC4">
            <w:pPr>
              <w:spacing w:after="0" w:line="240" w:lineRule="auto"/>
              <w:jc w:val="left"/>
            </w:pPr>
            <w:r w:rsidRPr="005A3EC4">
              <w:t>N</w:t>
            </w:r>
            <w:r w:rsidR="00317A78" w:rsidRPr="005A3EC4">
              <w:t>ázev</w:t>
            </w:r>
          </w:p>
        </w:tc>
        <w:tc>
          <w:tcPr>
            <w:tcW w:w="5801" w:type="dxa"/>
            <w:shd w:val="clear" w:color="auto" w:fill="auto"/>
          </w:tcPr>
          <w:p w14:paraId="7F08161F" w14:textId="77777777" w:rsidR="00317A78" w:rsidRPr="005A3EC4" w:rsidRDefault="00317A78" w:rsidP="005A3EC4">
            <w:pPr>
              <w:spacing w:after="0" w:line="240" w:lineRule="auto"/>
              <w:jc w:val="left"/>
              <w:rPr>
                <w:b/>
              </w:rPr>
            </w:pPr>
            <w:r w:rsidRPr="005A3EC4">
              <w:rPr>
                <w:b/>
              </w:rPr>
              <w:t>DISTEP a.s.</w:t>
            </w:r>
          </w:p>
        </w:tc>
      </w:tr>
      <w:tr w:rsidR="00317A78" w:rsidRPr="005A3EC4" w14:paraId="71799489" w14:textId="77777777" w:rsidTr="005A3EC4">
        <w:tc>
          <w:tcPr>
            <w:tcW w:w="3261" w:type="dxa"/>
            <w:shd w:val="clear" w:color="auto" w:fill="auto"/>
          </w:tcPr>
          <w:p w14:paraId="2F46766C" w14:textId="77777777" w:rsidR="00317A78" w:rsidRPr="005A3EC4" w:rsidRDefault="00317A78" w:rsidP="005A3EC4">
            <w:pPr>
              <w:spacing w:after="0" w:line="240" w:lineRule="auto"/>
              <w:jc w:val="left"/>
            </w:pPr>
            <w:r w:rsidRPr="005A3EC4">
              <w:t>se sídlem:</w:t>
            </w:r>
          </w:p>
        </w:tc>
        <w:tc>
          <w:tcPr>
            <w:tcW w:w="5801" w:type="dxa"/>
            <w:shd w:val="clear" w:color="auto" w:fill="auto"/>
          </w:tcPr>
          <w:p w14:paraId="3D39E7AC" w14:textId="77777777" w:rsidR="00317A78" w:rsidRPr="005A3EC4" w:rsidRDefault="00317A78" w:rsidP="005A3EC4">
            <w:pPr>
              <w:spacing w:after="0" w:line="240" w:lineRule="auto"/>
              <w:jc w:val="left"/>
            </w:pPr>
            <w:r w:rsidRPr="005A3EC4">
              <w:t>Ostravská 961, 738 01 Frýdek-Místek</w:t>
            </w:r>
          </w:p>
        </w:tc>
      </w:tr>
      <w:tr w:rsidR="00317A78" w:rsidRPr="005A3EC4" w14:paraId="517C3508" w14:textId="77777777" w:rsidTr="005A3EC4">
        <w:tc>
          <w:tcPr>
            <w:tcW w:w="3261" w:type="dxa"/>
            <w:shd w:val="clear" w:color="auto" w:fill="auto"/>
          </w:tcPr>
          <w:p w14:paraId="604450EA" w14:textId="77777777" w:rsidR="00317A78" w:rsidRPr="005A3EC4" w:rsidRDefault="00317A78" w:rsidP="005A3EC4">
            <w:pPr>
              <w:spacing w:after="0" w:line="240" w:lineRule="auto"/>
              <w:jc w:val="left"/>
            </w:pPr>
            <w:r w:rsidRPr="005A3EC4">
              <w:t>zastoupena:</w:t>
            </w:r>
          </w:p>
        </w:tc>
        <w:tc>
          <w:tcPr>
            <w:tcW w:w="5801" w:type="dxa"/>
            <w:shd w:val="clear" w:color="auto" w:fill="auto"/>
          </w:tcPr>
          <w:p w14:paraId="37E118AB" w14:textId="77777777" w:rsidR="00317A78" w:rsidRPr="005A3EC4" w:rsidRDefault="00A17B19" w:rsidP="005A3EC4">
            <w:pPr>
              <w:spacing w:after="0" w:line="240" w:lineRule="auto"/>
              <w:jc w:val="left"/>
            </w:pPr>
            <w:r w:rsidRPr="005A3EC4">
              <w:t>Mgr. Jiří Čuda, MBA</w:t>
            </w:r>
            <w:r w:rsidR="00317A78" w:rsidRPr="005A3EC4">
              <w:t xml:space="preserve">, </w:t>
            </w:r>
            <w:r w:rsidRPr="005A3EC4">
              <w:t xml:space="preserve">předseda </w:t>
            </w:r>
            <w:r w:rsidR="00317A78" w:rsidRPr="005A3EC4">
              <w:t xml:space="preserve">představenstva </w:t>
            </w:r>
          </w:p>
        </w:tc>
      </w:tr>
      <w:tr w:rsidR="00317A78" w:rsidRPr="005A3EC4" w14:paraId="319D3DB8" w14:textId="77777777" w:rsidTr="005A3EC4">
        <w:tc>
          <w:tcPr>
            <w:tcW w:w="3261" w:type="dxa"/>
            <w:shd w:val="clear" w:color="auto" w:fill="auto"/>
          </w:tcPr>
          <w:p w14:paraId="250B56BD" w14:textId="77777777" w:rsidR="00317A78" w:rsidRPr="005A3EC4" w:rsidRDefault="00317A78" w:rsidP="005A3EC4">
            <w:pPr>
              <w:spacing w:after="0" w:line="240" w:lineRule="auto"/>
              <w:jc w:val="left"/>
            </w:pPr>
            <w:r w:rsidRPr="005A3EC4">
              <w:t>IČ:</w:t>
            </w:r>
          </w:p>
        </w:tc>
        <w:tc>
          <w:tcPr>
            <w:tcW w:w="5801" w:type="dxa"/>
            <w:shd w:val="clear" w:color="auto" w:fill="auto"/>
          </w:tcPr>
          <w:p w14:paraId="3F0B5A8A" w14:textId="77777777" w:rsidR="00317A78" w:rsidRPr="005A3EC4" w:rsidRDefault="00317A78" w:rsidP="005A3EC4">
            <w:pPr>
              <w:spacing w:after="0" w:line="240" w:lineRule="auto"/>
              <w:jc w:val="left"/>
            </w:pPr>
            <w:r w:rsidRPr="005A3EC4">
              <w:t>65138091</w:t>
            </w:r>
          </w:p>
        </w:tc>
      </w:tr>
      <w:tr w:rsidR="00317A78" w:rsidRPr="005A3EC4" w14:paraId="3CAC8FAD" w14:textId="77777777" w:rsidTr="005A3EC4">
        <w:tc>
          <w:tcPr>
            <w:tcW w:w="3261" w:type="dxa"/>
            <w:shd w:val="clear" w:color="auto" w:fill="auto"/>
          </w:tcPr>
          <w:p w14:paraId="785590A9" w14:textId="77777777" w:rsidR="00317A78" w:rsidRPr="005A3EC4" w:rsidRDefault="00317A78" w:rsidP="005A3EC4">
            <w:pPr>
              <w:spacing w:after="0" w:line="240" w:lineRule="auto"/>
              <w:jc w:val="left"/>
            </w:pPr>
            <w:r w:rsidRPr="005A3EC4">
              <w:t>DIČ:</w:t>
            </w:r>
          </w:p>
        </w:tc>
        <w:tc>
          <w:tcPr>
            <w:tcW w:w="5801" w:type="dxa"/>
            <w:shd w:val="clear" w:color="auto" w:fill="auto"/>
          </w:tcPr>
          <w:p w14:paraId="059B94EA" w14:textId="77777777" w:rsidR="00317A78" w:rsidRPr="005A3EC4" w:rsidRDefault="00317A78" w:rsidP="005A3EC4">
            <w:pPr>
              <w:spacing w:after="0" w:line="240" w:lineRule="auto"/>
              <w:jc w:val="left"/>
            </w:pPr>
            <w:r w:rsidRPr="005A3EC4">
              <w:t>CZ65138091</w:t>
            </w:r>
          </w:p>
        </w:tc>
      </w:tr>
      <w:tr w:rsidR="00317A78" w:rsidRPr="005A3EC4" w14:paraId="5AFED97C" w14:textId="77777777" w:rsidTr="005A3EC4">
        <w:tc>
          <w:tcPr>
            <w:tcW w:w="3261" w:type="dxa"/>
            <w:shd w:val="clear" w:color="auto" w:fill="auto"/>
          </w:tcPr>
          <w:p w14:paraId="4310C24E" w14:textId="77777777" w:rsidR="00317A78" w:rsidRPr="005A3EC4" w:rsidRDefault="00317A78" w:rsidP="005A3EC4">
            <w:pPr>
              <w:spacing w:after="0" w:line="240" w:lineRule="auto"/>
              <w:jc w:val="left"/>
            </w:pPr>
            <w:r w:rsidRPr="005A3EC4">
              <w:t>bankovní spojení:</w:t>
            </w:r>
          </w:p>
        </w:tc>
        <w:tc>
          <w:tcPr>
            <w:tcW w:w="5801" w:type="dxa"/>
            <w:shd w:val="clear" w:color="auto" w:fill="auto"/>
          </w:tcPr>
          <w:p w14:paraId="74FAF7BC" w14:textId="77777777" w:rsidR="00317A78" w:rsidRPr="005A3EC4" w:rsidRDefault="00317A78" w:rsidP="005A3EC4">
            <w:pPr>
              <w:spacing w:after="0" w:line="240" w:lineRule="auto"/>
              <w:jc w:val="left"/>
            </w:pPr>
            <w:r w:rsidRPr="005A3EC4">
              <w:t xml:space="preserve">KB a.s. Frýdek-Místek </w:t>
            </w:r>
          </w:p>
        </w:tc>
      </w:tr>
      <w:tr w:rsidR="00317A78" w:rsidRPr="005A3EC4" w14:paraId="27C52B56" w14:textId="77777777" w:rsidTr="005A3EC4">
        <w:tc>
          <w:tcPr>
            <w:tcW w:w="3261" w:type="dxa"/>
            <w:shd w:val="clear" w:color="auto" w:fill="auto"/>
          </w:tcPr>
          <w:p w14:paraId="7DEA635A" w14:textId="77777777" w:rsidR="00317A78" w:rsidRPr="005A3EC4" w:rsidRDefault="00317A78" w:rsidP="005A3EC4">
            <w:pPr>
              <w:spacing w:after="0" w:line="240" w:lineRule="auto"/>
              <w:jc w:val="left"/>
            </w:pPr>
            <w:r w:rsidRPr="005A3EC4">
              <w:t>číslo účtu:</w:t>
            </w:r>
          </w:p>
        </w:tc>
        <w:tc>
          <w:tcPr>
            <w:tcW w:w="5801" w:type="dxa"/>
            <w:shd w:val="clear" w:color="auto" w:fill="auto"/>
          </w:tcPr>
          <w:p w14:paraId="23F276D2" w14:textId="77777777" w:rsidR="00317A78" w:rsidRPr="005A3EC4" w:rsidRDefault="00317A78" w:rsidP="005A3EC4">
            <w:pPr>
              <w:spacing w:after="0" w:line="240" w:lineRule="auto"/>
              <w:jc w:val="left"/>
            </w:pPr>
            <w:r w:rsidRPr="005A3EC4">
              <w:t>19-3756270207/0100</w:t>
            </w:r>
          </w:p>
        </w:tc>
      </w:tr>
      <w:tr w:rsidR="00317A78" w:rsidRPr="005A3EC4" w14:paraId="0EBFE745" w14:textId="77777777" w:rsidTr="005A3EC4">
        <w:tc>
          <w:tcPr>
            <w:tcW w:w="3261" w:type="dxa"/>
            <w:shd w:val="clear" w:color="auto" w:fill="auto"/>
          </w:tcPr>
          <w:p w14:paraId="521C3BF0" w14:textId="77777777" w:rsidR="00317A78" w:rsidRPr="005A3EC4" w:rsidRDefault="00317A78" w:rsidP="005A3EC4">
            <w:pPr>
              <w:spacing w:after="0" w:line="240" w:lineRule="auto"/>
              <w:jc w:val="left"/>
            </w:pPr>
            <w:r w:rsidRPr="005A3EC4">
              <w:t>tel.:</w:t>
            </w:r>
          </w:p>
        </w:tc>
        <w:tc>
          <w:tcPr>
            <w:tcW w:w="5801" w:type="dxa"/>
            <w:shd w:val="clear" w:color="auto" w:fill="auto"/>
          </w:tcPr>
          <w:p w14:paraId="20343AC9" w14:textId="77777777" w:rsidR="00317A78" w:rsidRPr="005A3EC4" w:rsidRDefault="0031735F" w:rsidP="005A3EC4">
            <w:pPr>
              <w:spacing w:after="0" w:line="240" w:lineRule="auto"/>
              <w:jc w:val="left"/>
            </w:pPr>
            <w:r w:rsidRPr="005A3EC4">
              <w:t xml:space="preserve">+420 </w:t>
            </w:r>
            <w:r w:rsidR="00317A78" w:rsidRPr="005A3EC4">
              <w:t>558 442 111</w:t>
            </w:r>
          </w:p>
        </w:tc>
      </w:tr>
      <w:tr w:rsidR="00317A78" w:rsidRPr="005A3EC4" w14:paraId="4D2481BB" w14:textId="77777777" w:rsidTr="005A3EC4">
        <w:tc>
          <w:tcPr>
            <w:tcW w:w="3261" w:type="dxa"/>
            <w:shd w:val="clear" w:color="auto" w:fill="auto"/>
          </w:tcPr>
          <w:p w14:paraId="73180905" w14:textId="77777777" w:rsidR="00317A78" w:rsidRPr="005A3EC4" w:rsidRDefault="00317A78" w:rsidP="005A3EC4">
            <w:pPr>
              <w:spacing w:after="0" w:line="240" w:lineRule="auto"/>
              <w:jc w:val="left"/>
            </w:pPr>
            <w:r w:rsidRPr="005A3EC4">
              <w:t>email:</w:t>
            </w:r>
          </w:p>
        </w:tc>
        <w:tc>
          <w:tcPr>
            <w:tcW w:w="5801" w:type="dxa"/>
            <w:shd w:val="clear" w:color="auto" w:fill="auto"/>
          </w:tcPr>
          <w:p w14:paraId="7C1F058A" w14:textId="77777777" w:rsidR="00317A78" w:rsidRPr="005A3EC4" w:rsidRDefault="00317A78" w:rsidP="005A3EC4">
            <w:pPr>
              <w:spacing w:after="0" w:line="240" w:lineRule="auto"/>
              <w:jc w:val="left"/>
            </w:pPr>
            <w:r w:rsidRPr="005A3EC4">
              <w:t>posta@distep.cz</w:t>
            </w:r>
          </w:p>
        </w:tc>
      </w:tr>
      <w:tr w:rsidR="00317A78" w:rsidRPr="005A3EC4" w14:paraId="2F1158A9" w14:textId="77777777" w:rsidTr="005A3EC4">
        <w:tc>
          <w:tcPr>
            <w:tcW w:w="3261" w:type="dxa"/>
            <w:shd w:val="clear" w:color="auto" w:fill="auto"/>
          </w:tcPr>
          <w:p w14:paraId="0C91D3DB" w14:textId="77777777" w:rsidR="00317A78" w:rsidRPr="005A3EC4" w:rsidRDefault="00317A78" w:rsidP="005A3EC4">
            <w:pPr>
              <w:spacing w:after="0" w:line="240" w:lineRule="auto"/>
              <w:jc w:val="left"/>
            </w:pPr>
            <w:r w:rsidRPr="005A3EC4">
              <w:t>ID:</w:t>
            </w:r>
          </w:p>
        </w:tc>
        <w:tc>
          <w:tcPr>
            <w:tcW w:w="5801" w:type="dxa"/>
            <w:shd w:val="clear" w:color="auto" w:fill="auto"/>
          </w:tcPr>
          <w:p w14:paraId="517921C5" w14:textId="77777777" w:rsidR="00317A78" w:rsidRPr="005A3EC4" w:rsidRDefault="00317A78" w:rsidP="005A3EC4">
            <w:pPr>
              <w:spacing w:after="0" w:line="240" w:lineRule="auto"/>
              <w:jc w:val="left"/>
            </w:pPr>
            <w:r w:rsidRPr="005A3EC4">
              <w:t>2yfdqnk</w:t>
            </w:r>
          </w:p>
        </w:tc>
      </w:tr>
      <w:tr w:rsidR="00317A78" w:rsidRPr="005A3EC4" w14:paraId="0B863400" w14:textId="77777777" w:rsidTr="005A3EC4">
        <w:tc>
          <w:tcPr>
            <w:tcW w:w="9062" w:type="dxa"/>
            <w:gridSpan w:val="2"/>
            <w:shd w:val="clear" w:color="auto" w:fill="auto"/>
          </w:tcPr>
          <w:p w14:paraId="478319EB" w14:textId="77777777" w:rsidR="00317A78" w:rsidRPr="005A3EC4" w:rsidRDefault="00317A78" w:rsidP="005A3EC4">
            <w:pPr>
              <w:spacing w:after="0" w:line="240" w:lineRule="auto"/>
              <w:jc w:val="left"/>
            </w:pPr>
            <w:r w:rsidRPr="005A3EC4">
              <w:t>zapsána ve veřejném rejstříku, vedeného Krajským soudem v Ostravě, oddíl B, vložka 1205</w:t>
            </w:r>
          </w:p>
        </w:tc>
      </w:tr>
      <w:tr w:rsidR="00317A78" w:rsidRPr="005A3EC4" w14:paraId="4301CFF7" w14:textId="77777777" w:rsidTr="005A3EC4">
        <w:tc>
          <w:tcPr>
            <w:tcW w:w="3261" w:type="dxa"/>
            <w:shd w:val="clear" w:color="auto" w:fill="auto"/>
          </w:tcPr>
          <w:p w14:paraId="36859F7E" w14:textId="77777777" w:rsidR="00317A78" w:rsidRPr="005A3EC4" w:rsidRDefault="00317A78" w:rsidP="005A3EC4">
            <w:pPr>
              <w:spacing w:after="0" w:line="240" w:lineRule="auto"/>
              <w:jc w:val="left"/>
            </w:pPr>
            <w:r w:rsidRPr="005A3EC4">
              <w:t xml:space="preserve">(dále jen </w:t>
            </w:r>
            <w:r w:rsidR="009975DE" w:rsidRPr="005A3EC4">
              <w:t>objednatel</w:t>
            </w:r>
            <w:r w:rsidRPr="005A3EC4">
              <w:t>)</w:t>
            </w:r>
          </w:p>
        </w:tc>
        <w:tc>
          <w:tcPr>
            <w:tcW w:w="5801" w:type="dxa"/>
            <w:shd w:val="clear" w:color="auto" w:fill="auto"/>
          </w:tcPr>
          <w:p w14:paraId="3F448728" w14:textId="77777777" w:rsidR="00317A78" w:rsidRPr="005A3EC4" w:rsidRDefault="00317A78" w:rsidP="005A3EC4">
            <w:pPr>
              <w:spacing w:after="0" w:line="240" w:lineRule="auto"/>
              <w:jc w:val="center"/>
            </w:pPr>
          </w:p>
        </w:tc>
      </w:tr>
    </w:tbl>
    <w:p w14:paraId="379406AE" w14:textId="77777777" w:rsidR="00317A78" w:rsidRDefault="00317A78" w:rsidP="00317A78">
      <w:pPr>
        <w:spacing w:after="0"/>
        <w:jc w:val="center"/>
      </w:pPr>
    </w:p>
    <w:p w14:paraId="44D113C8" w14:textId="77777777" w:rsidR="00317A78" w:rsidRDefault="00317A78" w:rsidP="00317A78">
      <w:pPr>
        <w:spacing w:after="0"/>
        <w:jc w:val="center"/>
      </w:pPr>
    </w:p>
    <w:p w14:paraId="23F0BFF1" w14:textId="77777777" w:rsidR="0031735F" w:rsidRDefault="0031735F" w:rsidP="00317A78">
      <w:pPr>
        <w:spacing w:after="0"/>
        <w:jc w:val="center"/>
      </w:pPr>
    </w:p>
    <w:p w14:paraId="660043AF" w14:textId="77777777" w:rsidR="00317A78" w:rsidRDefault="00317A78" w:rsidP="00317A78">
      <w:pPr>
        <w:spacing w:after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317A78" w:rsidRPr="005A3EC4" w14:paraId="63E6321D" w14:textId="77777777" w:rsidTr="005A3EC4">
        <w:tc>
          <w:tcPr>
            <w:tcW w:w="3261" w:type="dxa"/>
            <w:shd w:val="clear" w:color="auto" w:fill="auto"/>
          </w:tcPr>
          <w:p w14:paraId="33318730" w14:textId="77777777" w:rsidR="00317A78" w:rsidRPr="005A3EC4" w:rsidRDefault="001C268B" w:rsidP="005A3EC4">
            <w:pPr>
              <w:spacing w:after="0" w:line="240" w:lineRule="auto"/>
              <w:jc w:val="left"/>
            </w:pPr>
            <w:r w:rsidRPr="005A3EC4">
              <w:t>N</w:t>
            </w:r>
            <w:r w:rsidR="00317A78" w:rsidRPr="005A3EC4">
              <w:t>ázev</w:t>
            </w:r>
          </w:p>
        </w:tc>
        <w:tc>
          <w:tcPr>
            <w:tcW w:w="5801" w:type="dxa"/>
            <w:shd w:val="clear" w:color="auto" w:fill="auto"/>
          </w:tcPr>
          <w:p w14:paraId="0E1C0486" w14:textId="6A64DEA6" w:rsidR="00317A78" w:rsidRPr="00825CD6" w:rsidRDefault="00825CD6" w:rsidP="005A3EC4">
            <w:pPr>
              <w:spacing w:after="0" w:line="240" w:lineRule="auto"/>
              <w:jc w:val="left"/>
              <w:rPr>
                <w:b/>
              </w:rPr>
            </w:pPr>
            <w:r w:rsidRPr="00825CD6">
              <w:rPr>
                <w:b/>
              </w:rPr>
              <w:t>(</w:t>
            </w:r>
            <w:r w:rsidRPr="00825CD6">
              <w:rPr>
                <w:b/>
                <w:highlight w:val="yellow"/>
              </w:rPr>
              <w:t>doplnit</w:t>
            </w:r>
            <w:r w:rsidRPr="00825CD6">
              <w:rPr>
                <w:b/>
              </w:rPr>
              <w:t>)</w:t>
            </w:r>
          </w:p>
        </w:tc>
      </w:tr>
      <w:tr w:rsidR="00317A78" w:rsidRPr="005A3EC4" w14:paraId="63B1AD35" w14:textId="77777777" w:rsidTr="005A3EC4">
        <w:tc>
          <w:tcPr>
            <w:tcW w:w="3261" w:type="dxa"/>
            <w:shd w:val="clear" w:color="auto" w:fill="auto"/>
          </w:tcPr>
          <w:p w14:paraId="111D6D89" w14:textId="77777777" w:rsidR="00317A78" w:rsidRPr="005A3EC4" w:rsidRDefault="00317A78" w:rsidP="005A3EC4">
            <w:pPr>
              <w:spacing w:after="0" w:line="240" w:lineRule="auto"/>
              <w:jc w:val="left"/>
            </w:pPr>
            <w:r w:rsidRPr="005A3EC4">
              <w:t>se sídlem:</w:t>
            </w:r>
          </w:p>
        </w:tc>
        <w:tc>
          <w:tcPr>
            <w:tcW w:w="5801" w:type="dxa"/>
            <w:shd w:val="clear" w:color="auto" w:fill="auto"/>
          </w:tcPr>
          <w:p w14:paraId="30FFE2EF" w14:textId="356132C5" w:rsidR="00317A78" w:rsidRPr="005A3EC4" w:rsidRDefault="00825CD6" w:rsidP="005A3EC4">
            <w:pPr>
              <w:spacing w:after="0" w:line="240" w:lineRule="auto"/>
              <w:jc w:val="left"/>
              <w:rPr>
                <w:rFonts w:cs="Calibri"/>
              </w:rPr>
            </w:pPr>
            <w:r>
              <w:t>(</w:t>
            </w:r>
            <w:r w:rsidRPr="00A7107B">
              <w:rPr>
                <w:highlight w:val="yellow"/>
              </w:rPr>
              <w:t>doplnit</w:t>
            </w:r>
            <w:r>
              <w:t>)</w:t>
            </w:r>
          </w:p>
        </w:tc>
      </w:tr>
      <w:tr w:rsidR="00317A78" w:rsidRPr="005A3EC4" w14:paraId="321AD375" w14:textId="77777777" w:rsidTr="005A3EC4">
        <w:tc>
          <w:tcPr>
            <w:tcW w:w="3261" w:type="dxa"/>
            <w:shd w:val="clear" w:color="auto" w:fill="auto"/>
          </w:tcPr>
          <w:p w14:paraId="324EC7E9" w14:textId="77777777" w:rsidR="00317A78" w:rsidRPr="005A3EC4" w:rsidRDefault="00317A78" w:rsidP="005A3EC4">
            <w:pPr>
              <w:spacing w:after="0" w:line="240" w:lineRule="auto"/>
              <w:jc w:val="left"/>
            </w:pPr>
            <w:r w:rsidRPr="005A3EC4">
              <w:t>zastoupena:</w:t>
            </w:r>
          </w:p>
        </w:tc>
        <w:tc>
          <w:tcPr>
            <w:tcW w:w="5801" w:type="dxa"/>
            <w:shd w:val="clear" w:color="auto" w:fill="auto"/>
          </w:tcPr>
          <w:p w14:paraId="13580093" w14:textId="395A148B" w:rsidR="00317A78" w:rsidRPr="005A3EC4" w:rsidRDefault="00825CD6" w:rsidP="005A3EC4">
            <w:pPr>
              <w:spacing w:after="0" w:line="240" w:lineRule="auto"/>
              <w:jc w:val="left"/>
              <w:rPr>
                <w:rFonts w:cs="Calibri"/>
              </w:rPr>
            </w:pPr>
            <w:r>
              <w:t>(</w:t>
            </w:r>
            <w:r w:rsidRPr="00A7107B">
              <w:rPr>
                <w:highlight w:val="yellow"/>
              </w:rPr>
              <w:t>doplnit</w:t>
            </w:r>
            <w:r>
              <w:t>)</w:t>
            </w:r>
          </w:p>
        </w:tc>
      </w:tr>
      <w:tr w:rsidR="00317A78" w:rsidRPr="005A3EC4" w14:paraId="7FEC6C80" w14:textId="77777777" w:rsidTr="005A3EC4">
        <w:tc>
          <w:tcPr>
            <w:tcW w:w="3261" w:type="dxa"/>
            <w:shd w:val="clear" w:color="auto" w:fill="auto"/>
          </w:tcPr>
          <w:p w14:paraId="4A2EF0FE" w14:textId="77777777" w:rsidR="00317A78" w:rsidRPr="005A3EC4" w:rsidRDefault="00317A78" w:rsidP="005A3EC4">
            <w:pPr>
              <w:spacing w:after="0" w:line="240" w:lineRule="auto"/>
              <w:jc w:val="left"/>
            </w:pPr>
            <w:r w:rsidRPr="005A3EC4">
              <w:t>IČ:</w:t>
            </w:r>
          </w:p>
        </w:tc>
        <w:tc>
          <w:tcPr>
            <w:tcW w:w="5801" w:type="dxa"/>
            <w:shd w:val="clear" w:color="auto" w:fill="auto"/>
          </w:tcPr>
          <w:p w14:paraId="05E010AD" w14:textId="6C510BC5" w:rsidR="00317A78" w:rsidRPr="005A3EC4" w:rsidRDefault="00825CD6" w:rsidP="005A3EC4">
            <w:pPr>
              <w:spacing w:after="0" w:line="240" w:lineRule="auto"/>
              <w:jc w:val="left"/>
              <w:rPr>
                <w:rFonts w:cs="Calibri"/>
              </w:rPr>
            </w:pPr>
            <w:r>
              <w:t>(</w:t>
            </w:r>
            <w:r w:rsidRPr="00A7107B">
              <w:rPr>
                <w:highlight w:val="yellow"/>
              </w:rPr>
              <w:t>doplnit</w:t>
            </w:r>
            <w:r>
              <w:t>)</w:t>
            </w:r>
          </w:p>
        </w:tc>
      </w:tr>
      <w:tr w:rsidR="00317A78" w:rsidRPr="005A3EC4" w14:paraId="5DC42AC0" w14:textId="77777777" w:rsidTr="005A3EC4">
        <w:tc>
          <w:tcPr>
            <w:tcW w:w="3261" w:type="dxa"/>
            <w:shd w:val="clear" w:color="auto" w:fill="auto"/>
          </w:tcPr>
          <w:p w14:paraId="2C0B586C" w14:textId="77777777" w:rsidR="00317A78" w:rsidRPr="005A3EC4" w:rsidRDefault="00317A78" w:rsidP="005A3EC4">
            <w:pPr>
              <w:spacing w:after="0" w:line="240" w:lineRule="auto"/>
              <w:jc w:val="left"/>
            </w:pPr>
            <w:r w:rsidRPr="005A3EC4">
              <w:t>DIČ:</w:t>
            </w:r>
          </w:p>
        </w:tc>
        <w:tc>
          <w:tcPr>
            <w:tcW w:w="5801" w:type="dxa"/>
            <w:shd w:val="clear" w:color="auto" w:fill="auto"/>
          </w:tcPr>
          <w:p w14:paraId="4A4BECB1" w14:textId="5F9F855D" w:rsidR="00317A78" w:rsidRPr="005A3EC4" w:rsidRDefault="00825CD6" w:rsidP="005A3EC4">
            <w:pPr>
              <w:spacing w:after="0" w:line="240" w:lineRule="auto"/>
              <w:jc w:val="left"/>
              <w:rPr>
                <w:rFonts w:cs="Calibri"/>
              </w:rPr>
            </w:pPr>
            <w:r>
              <w:t>(</w:t>
            </w:r>
            <w:r w:rsidRPr="00A7107B">
              <w:rPr>
                <w:highlight w:val="yellow"/>
              </w:rPr>
              <w:t>doplnit</w:t>
            </w:r>
            <w:r>
              <w:t>)</w:t>
            </w:r>
          </w:p>
        </w:tc>
      </w:tr>
      <w:tr w:rsidR="00317A78" w:rsidRPr="005A3EC4" w14:paraId="45CAFFD8" w14:textId="77777777" w:rsidTr="005A3EC4">
        <w:tc>
          <w:tcPr>
            <w:tcW w:w="3261" w:type="dxa"/>
            <w:shd w:val="clear" w:color="auto" w:fill="auto"/>
          </w:tcPr>
          <w:p w14:paraId="49A8E988" w14:textId="77777777" w:rsidR="00317A78" w:rsidRPr="005A3EC4" w:rsidRDefault="00317A78" w:rsidP="005A3EC4">
            <w:pPr>
              <w:spacing w:after="0" w:line="240" w:lineRule="auto"/>
              <w:jc w:val="left"/>
            </w:pPr>
            <w:r w:rsidRPr="005A3EC4">
              <w:t>bankovní spojení:</w:t>
            </w:r>
          </w:p>
        </w:tc>
        <w:tc>
          <w:tcPr>
            <w:tcW w:w="5801" w:type="dxa"/>
            <w:shd w:val="clear" w:color="auto" w:fill="auto"/>
          </w:tcPr>
          <w:p w14:paraId="7013E1D1" w14:textId="03796E8A" w:rsidR="00317A78" w:rsidRPr="005A3EC4" w:rsidRDefault="00825CD6" w:rsidP="005A3EC4">
            <w:pPr>
              <w:spacing w:after="0" w:line="240" w:lineRule="auto"/>
              <w:jc w:val="left"/>
              <w:rPr>
                <w:rFonts w:cs="Calibri"/>
              </w:rPr>
            </w:pPr>
            <w:r>
              <w:t>(</w:t>
            </w:r>
            <w:r w:rsidRPr="00A7107B">
              <w:rPr>
                <w:highlight w:val="yellow"/>
              </w:rPr>
              <w:t>doplnit</w:t>
            </w:r>
            <w:r>
              <w:t>)</w:t>
            </w:r>
          </w:p>
        </w:tc>
      </w:tr>
      <w:tr w:rsidR="00317A78" w:rsidRPr="005A3EC4" w14:paraId="289FCFC6" w14:textId="77777777" w:rsidTr="005A3EC4">
        <w:tc>
          <w:tcPr>
            <w:tcW w:w="3261" w:type="dxa"/>
            <w:shd w:val="clear" w:color="auto" w:fill="auto"/>
          </w:tcPr>
          <w:p w14:paraId="17C5D11F" w14:textId="77777777" w:rsidR="00317A78" w:rsidRPr="005A3EC4" w:rsidRDefault="00317A78" w:rsidP="005A3EC4">
            <w:pPr>
              <w:spacing w:after="0" w:line="240" w:lineRule="auto"/>
              <w:jc w:val="left"/>
            </w:pPr>
            <w:r w:rsidRPr="005A3EC4">
              <w:t>číslo účtu:</w:t>
            </w:r>
          </w:p>
        </w:tc>
        <w:tc>
          <w:tcPr>
            <w:tcW w:w="5801" w:type="dxa"/>
            <w:shd w:val="clear" w:color="auto" w:fill="auto"/>
          </w:tcPr>
          <w:p w14:paraId="1AF448F6" w14:textId="5F03B8A6" w:rsidR="00317A78" w:rsidRPr="005A3EC4" w:rsidRDefault="00825CD6" w:rsidP="005A3EC4">
            <w:pPr>
              <w:spacing w:after="0" w:line="240" w:lineRule="auto"/>
              <w:jc w:val="left"/>
              <w:rPr>
                <w:rFonts w:cs="Calibri"/>
                <w:color w:val="000000"/>
              </w:rPr>
            </w:pPr>
            <w:r>
              <w:t>(</w:t>
            </w:r>
            <w:r w:rsidRPr="00A7107B">
              <w:rPr>
                <w:highlight w:val="yellow"/>
              </w:rPr>
              <w:t>doplnit</w:t>
            </w:r>
            <w:r>
              <w:t>)</w:t>
            </w:r>
          </w:p>
        </w:tc>
      </w:tr>
      <w:tr w:rsidR="00317A78" w:rsidRPr="005A3EC4" w14:paraId="54F475DD" w14:textId="77777777" w:rsidTr="005A3EC4">
        <w:tc>
          <w:tcPr>
            <w:tcW w:w="3261" w:type="dxa"/>
            <w:shd w:val="clear" w:color="auto" w:fill="auto"/>
          </w:tcPr>
          <w:p w14:paraId="15F2A092" w14:textId="77777777" w:rsidR="00317A78" w:rsidRPr="005A3EC4" w:rsidRDefault="00317A78" w:rsidP="005A3EC4">
            <w:pPr>
              <w:spacing w:after="0" w:line="240" w:lineRule="auto"/>
              <w:jc w:val="left"/>
            </w:pPr>
            <w:r w:rsidRPr="005A3EC4">
              <w:t>tel.:</w:t>
            </w:r>
          </w:p>
        </w:tc>
        <w:tc>
          <w:tcPr>
            <w:tcW w:w="5801" w:type="dxa"/>
            <w:shd w:val="clear" w:color="auto" w:fill="auto"/>
          </w:tcPr>
          <w:p w14:paraId="1806B903" w14:textId="36C0F217" w:rsidR="00317A78" w:rsidRPr="005A3EC4" w:rsidRDefault="00825CD6" w:rsidP="005A3EC4">
            <w:pPr>
              <w:spacing w:after="0" w:line="240" w:lineRule="auto"/>
              <w:jc w:val="left"/>
              <w:rPr>
                <w:rFonts w:cs="Calibri"/>
              </w:rPr>
            </w:pPr>
            <w:r>
              <w:t>(</w:t>
            </w:r>
            <w:r w:rsidRPr="00A7107B">
              <w:rPr>
                <w:highlight w:val="yellow"/>
              </w:rPr>
              <w:t>doplnit</w:t>
            </w:r>
            <w:r>
              <w:t>)</w:t>
            </w:r>
          </w:p>
        </w:tc>
      </w:tr>
      <w:tr w:rsidR="00317A78" w:rsidRPr="005A3EC4" w14:paraId="30A1449B" w14:textId="77777777" w:rsidTr="005A3EC4">
        <w:tc>
          <w:tcPr>
            <w:tcW w:w="3261" w:type="dxa"/>
            <w:shd w:val="clear" w:color="auto" w:fill="auto"/>
          </w:tcPr>
          <w:p w14:paraId="415A8DF4" w14:textId="77777777" w:rsidR="00317A78" w:rsidRPr="005A3EC4" w:rsidRDefault="00317A78" w:rsidP="005A3EC4">
            <w:pPr>
              <w:spacing w:after="0" w:line="240" w:lineRule="auto"/>
              <w:jc w:val="left"/>
            </w:pPr>
            <w:r w:rsidRPr="005A3EC4">
              <w:t>email:</w:t>
            </w:r>
          </w:p>
        </w:tc>
        <w:tc>
          <w:tcPr>
            <w:tcW w:w="5801" w:type="dxa"/>
            <w:shd w:val="clear" w:color="auto" w:fill="auto"/>
          </w:tcPr>
          <w:p w14:paraId="4A04AE58" w14:textId="591F7175" w:rsidR="00317A78" w:rsidRPr="005A3EC4" w:rsidRDefault="00825CD6" w:rsidP="005A3EC4">
            <w:pPr>
              <w:spacing w:after="0" w:line="240" w:lineRule="auto"/>
              <w:jc w:val="left"/>
            </w:pPr>
            <w:r>
              <w:t>(</w:t>
            </w:r>
            <w:r w:rsidRPr="00A7107B">
              <w:rPr>
                <w:highlight w:val="yellow"/>
              </w:rPr>
              <w:t>doplnit</w:t>
            </w:r>
            <w:r>
              <w:t>)</w:t>
            </w:r>
          </w:p>
        </w:tc>
      </w:tr>
      <w:tr w:rsidR="00317A78" w:rsidRPr="005A3EC4" w14:paraId="61DE3F9E" w14:textId="77777777" w:rsidTr="005A3EC4">
        <w:tc>
          <w:tcPr>
            <w:tcW w:w="3261" w:type="dxa"/>
            <w:shd w:val="clear" w:color="auto" w:fill="auto"/>
          </w:tcPr>
          <w:p w14:paraId="35D1B198" w14:textId="77777777" w:rsidR="00317A78" w:rsidRPr="005A3EC4" w:rsidRDefault="00317A78" w:rsidP="005A3EC4">
            <w:pPr>
              <w:spacing w:after="0" w:line="240" w:lineRule="auto"/>
              <w:jc w:val="left"/>
            </w:pPr>
            <w:r w:rsidRPr="005A3EC4">
              <w:t>ID:</w:t>
            </w:r>
          </w:p>
        </w:tc>
        <w:tc>
          <w:tcPr>
            <w:tcW w:w="5801" w:type="dxa"/>
            <w:shd w:val="clear" w:color="auto" w:fill="auto"/>
          </w:tcPr>
          <w:p w14:paraId="4896F267" w14:textId="76C694E5" w:rsidR="00317A78" w:rsidRPr="005A3EC4" w:rsidRDefault="00825CD6" w:rsidP="005A3EC4">
            <w:pPr>
              <w:spacing w:after="0" w:line="240" w:lineRule="auto"/>
              <w:jc w:val="left"/>
            </w:pPr>
            <w:r>
              <w:t>(</w:t>
            </w:r>
            <w:r w:rsidRPr="00A7107B">
              <w:rPr>
                <w:highlight w:val="yellow"/>
              </w:rPr>
              <w:t>doplnit</w:t>
            </w:r>
            <w:r>
              <w:t>)</w:t>
            </w:r>
          </w:p>
        </w:tc>
      </w:tr>
      <w:tr w:rsidR="00317A78" w:rsidRPr="005A3EC4" w14:paraId="54C2C5A7" w14:textId="77777777" w:rsidTr="005A3EC4">
        <w:tc>
          <w:tcPr>
            <w:tcW w:w="9062" w:type="dxa"/>
            <w:gridSpan w:val="2"/>
            <w:shd w:val="clear" w:color="auto" w:fill="auto"/>
          </w:tcPr>
          <w:p w14:paraId="263B8750" w14:textId="4BAB87FD" w:rsidR="00317A78" w:rsidRPr="005A3EC4" w:rsidRDefault="00317A78" w:rsidP="005A3EC4">
            <w:pPr>
              <w:spacing w:after="0" w:line="240" w:lineRule="auto"/>
              <w:jc w:val="left"/>
            </w:pPr>
            <w:r w:rsidRPr="005A3EC4">
              <w:t xml:space="preserve">zapsána ve veřejném rejstříku, vedeného </w:t>
            </w:r>
            <w:r w:rsidR="0031735F" w:rsidRPr="005A3EC4">
              <w:t>Krajským soudem</w:t>
            </w:r>
            <w:r w:rsidR="00E860B4" w:rsidRPr="005A3EC4">
              <w:rPr>
                <w:color w:val="FF0000"/>
              </w:rPr>
              <w:t xml:space="preserve"> </w:t>
            </w:r>
            <w:r w:rsidR="00825CD6">
              <w:t>(</w:t>
            </w:r>
            <w:r w:rsidR="00825CD6" w:rsidRPr="00A7107B">
              <w:rPr>
                <w:highlight w:val="yellow"/>
              </w:rPr>
              <w:t>doplnit</w:t>
            </w:r>
            <w:r w:rsidR="00825CD6">
              <w:t>)</w:t>
            </w:r>
          </w:p>
        </w:tc>
      </w:tr>
      <w:tr w:rsidR="00317A78" w:rsidRPr="005A3EC4" w14:paraId="687B00AB" w14:textId="77777777" w:rsidTr="005A3EC4">
        <w:tc>
          <w:tcPr>
            <w:tcW w:w="3261" w:type="dxa"/>
            <w:shd w:val="clear" w:color="auto" w:fill="auto"/>
          </w:tcPr>
          <w:p w14:paraId="4F257D58" w14:textId="77777777" w:rsidR="00317A78" w:rsidRPr="005A3EC4" w:rsidRDefault="00317A78" w:rsidP="005A3EC4">
            <w:pPr>
              <w:spacing w:after="0" w:line="240" w:lineRule="auto"/>
              <w:jc w:val="left"/>
            </w:pPr>
            <w:r w:rsidRPr="005A3EC4">
              <w:t xml:space="preserve">(dále jen </w:t>
            </w:r>
            <w:r w:rsidR="008354C1" w:rsidRPr="005A3EC4">
              <w:t>poskytovatel</w:t>
            </w:r>
            <w:r w:rsidRPr="005A3EC4">
              <w:t>)</w:t>
            </w:r>
          </w:p>
        </w:tc>
        <w:tc>
          <w:tcPr>
            <w:tcW w:w="5801" w:type="dxa"/>
            <w:shd w:val="clear" w:color="auto" w:fill="auto"/>
          </w:tcPr>
          <w:p w14:paraId="6C468576" w14:textId="77777777" w:rsidR="00317A78" w:rsidRPr="005A3EC4" w:rsidRDefault="00317A78" w:rsidP="005A3EC4">
            <w:pPr>
              <w:spacing w:after="0" w:line="240" w:lineRule="auto"/>
              <w:jc w:val="center"/>
            </w:pPr>
          </w:p>
        </w:tc>
      </w:tr>
    </w:tbl>
    <w:p w14:paraId="51D58340" w14:textId="77777777" w:rsidR="00317A78" w:rsidRDefault="00317A78" w:rsidP="00317A78">
      <w:pPr>
        <w:pStyle w:val="Odstavecseseznamem"/>
        <w:spacing w:after="0"/>
        <w:ind w:left="0"/>
      </w:pPr>
    </w:p>
    <w:p w14:paraId="07191402" w14:textId="77777777" w:rsidR="00317A78" w:rsidRDefault="00317A78" w:rsidP="00317A78">
      <w:pPr>
        <w:pStyle w:val="Odstavecseseznamem"/>
        <w:spacing w:after="0"/>
        <w:ind w:left="0"/>
      </w:pPr>
    </w:p>
    <w:p w14:paraId="68213776" w14:textId="77777777" w:rsidR="00474885" w:rsidRDefault="00474885" w:rsidP="00317A78">
      <w:pPr>
        <w:pStyle w:val="Odstavecseseznamem"/>
        <w:spacing w:after="0"/>
        <w:ind w:left="0"/>
      </w:pPr>
    </w:p>
    <w:p w14:paraId="5D59A68C" w14:textId="77777777" w:rsidR="00317A78" w:rsidRPr="0039014A" w:rsidRDefault="00317A78" w:rsidP="00E860B4">
      <w:pPr>
        <w:pStyle w:val="Odstavecseseznamem"/>
        <w:numPr>
          <w:ilvl w:val="0"/>
          <w:numId w:val="7"/>
        </w:numPr>
        <w:ind w:left="0" w:firstLine="0"/>
        <w:jc w:val="center"/>
        <w:rPr>
          <w:b/>
        </w:rPr>
      </w:pPr>
      <w:r w:rsidRPr="0039014A">
        <w:rPr>
          <w:b/>
        </w:rPr>
        <w:t>Předmět smlouvy</w:t>
      </w:r>
    </w:p>
    <w:p w14:paraId="53572C4A" w14:textId="1D8DDE45" w:rsidR="00F73BCC" w:rsidRDefault="00E860B4" w:rsidP="00E860B4">
      <w:pPr>
        <w:spacing w:after="0"/>
      </w:pPr>
      <w:r>
        <w:t xml:space="preserve">Předmětem plnění </w:t>
      </w:r>
      <w:r w:rsidR="00E61B7F">
        <w:t>dle této smlouvy je několik typů smluvních závazků</w:t>
      </w:r>
      <w:r w:rsidR="00F73BCC">
        <w:t>,</w:t>
      </w:r>
      <w:r w:rsidR="00E61B7F">
        <w:t xml:space="preserve"> a to jak smlouvy o dílo, tak smlouvy </w:t>
      </w:r>
      <w:r w:rsidR="00F73BCC">
        <w:t xml:space="preserve">o kontrolní činnosti, i smlouvy o zprostředkování. Obecně je předmětem této smlouvy </w:t>
      </w:r>
      <w:r>
        <w:t xml:space="preserve">odborná pomoc při </w:t>
      </w:r>
      <w:r w:rsidR="00F73BCC">
        <w:t xml:space="preserve">přípravě certifikace, </w:t>
      </w:r>
      <w:proofErr w:type="spellStart"/>
      <w:r w:rsidR="00F73BCC">
        <w:t>recertifikace</w:t>
      </w:r>
      <w:proofErr w:type="spellEnd"/>
      <w:r w:rsidR="00F73BCC">
        <w:t xml:space="preserve">, </w:t>
      </w:r>
      <w:r>
        <w:t>správě</w:t>
      </w:r>
      <w:r w:rsidR="00F73BCC">
        <w:t xml:space="preserve">, údržbě a rozvoji </w:t>
      </w:r>
      <w:r>
        <w:t xml:space="preserve">integrovaného systému řízení </w:t>
      </w:r>
      <w:r w:rsidR="00F73BCC">
        <w:t xml:space="preserve">(dále jen „ISŘ“) </w:t>
      </w:r>
    </w:p>
    <w:p w14:paraId="524AEE25" w14:textId="77777777" w:rsidR="00F73BCC" w:rsidRDefault="00F73BCC" w:rsidP="00E860B4">
      <w:pPr>
        <w:spacing w:after="0"/>
      </w:pPr>
    </w:p>
    <w:p w14:paraId="1F9EE46D" w14:textId="77777777" w:rsidR="00F73BCC" w:rsidRPr="00F73BCC" w:rsidRDefault="00F73BCC" w:rsidP="00302356">
      <w:pPr>
        <w:spacing w:before="240" w:after="0" w:line="276" w:lineRule="auto"/>
        <w:rPr>
          <w:szCs w:val="20"/>
        </w:rPr>
      </w:pPr>
      <w:r>
        <w:t xml:space="preserve">ISŘ je tvořen zejména vnitřním systém řízení obchodní společnosti a </w:t>
      </w:r>
      <w:r w:rsidRPr="00F73BCC">
        <w:rPr>
          <w:szCs w:val="20"/>
        </w:rPr>
        <w:t>legislativní</w:t>
      </w:r>
      <w:r>
        <w:rPr>
          <w:szCs w:val="20"/>
        </w:rPr>
        <w:t>mi</w:t>
      </w:r>
      <w:r w:rsidRPr="00F73BCC">
        <w:rPr>
          <w:szCs w:val="20"/>
        </w:rPr>
        <w:t xml:space="preserve"> předpis</w:t>
      </w:r>
      <w:r>
        <w:rPr>
          <w:szCs w:val="20"/>
        </w:rPr>
        <w:t>y</w:t>
      </w:r>
      <w:r w:rsidRPr="00F73BCC">
        <w:rPr>
          <w:szCs w:val="20"/>
        </w:rPr>
        <w:t xml:space="preserve"> a oborový</w:t>
      </w:r>
      <w:r>
        <w:rPr>
          <w:szCs w:val="20"/>
        </w:rPr>
        <w:t xml:space="preserve">mi </w:t>
      </w:r>
      <w:r w:rsidRPr="00F73BCC">
        <w:rPr>
          <w:szCs w:val="20"/>
        </w:rPr>
        <w:t>norm</w:t>
      </w:r>
      <w:r>
        <w:rPr>
          <w:szCs w:val="20"/>
        </w:rPr>
        <w:t>ami</w:t>
      </w:r>
      <w:r w:rsidRPr="00F73BCC">
        <w:rPr>
          <w:szCs w:val="20"/>
        </w:rPr>
        <w:t>, a to především ČSN EN ISO 14001, ČSN EN ISO 9001, ČSN EN ISO 45001, ČSN ISO/IEC 27001 a ČSN EN ISO 50001</w:t>
      </w:r>
    </w:p>
    <w:p w14:paraId="2DADDB0D" w14:textId="13BF3E36" w:rsidR="00E860B4" w:rsidRDefault="00F73BCC" w:rsidP="00E860B4">
      <w:pPr>
        <w:spacing w:after="0"/>
      </w:pPr>
      <w:r>
        <w:lastRenderedPageBreak/>
        <w:t xml:space="preserve">Předmět dle této smlouvy je definován jako závazek </w:t>
      </w:r>
      <w:r w:rsidR="000877C8">
        <w:t>poskytovatele</w:t>
      </w:r>
      <w:r>
        <w:t xml:space="preserve"> vůči </w:t>
      </w:r>
      <w:r w:rsidR="00516324">
        <w:t>objednateli a</w:t>
      </w:r>
      <w:r w:rsidR="000877C8">
        <w:t xml:space="preserve"> to takto</w:t>
      </w:r>
      <w:r w:rsidR="00E860B4">
        <w:t>:</w:t>
      </w:r>
    </w:p>
    <w:p w14:paraId="01B95712" w14:textId="77777777" w:rsidR="008C17B5" w:rsidRPr="008C17B5" w:rsidRDefault="008C17B5" w:rsidP="008C17B5">
      <w:pPr>
        <w:pStyle w:val="Odstavecseseznamem"/>
        <w:numPr>
          <w:ilvl w:val="0"/>
          <w:numId w:val="18"/>
        </w:numPr>
        <w:spacing w:before="240" w:after="0" w:line="276" w:lineRule="auto"/>
        <w:ind w:left="709" w:hanging="709"/>
        <w:rPr>
          <w:szCs w:val="20"/>
        </w:rPr>
      </w:pPr>
      <w:r w:rsidRPr="008C17B5">
        <w:rPr>
          <w:szCs w:val="20"/>
        </w:rPr>
        <w:t xml:space="preserve">Vypracování a odsouhlasení ročního časového plánu údržby a rozvoje ISŘ a jeho následného plnění ve spolupráci s pověřenými zaměstnanci </w:t>
      </w:r>
      <w:r w:rsidR="000877C8">
        <w:rPr>
          <w:szCs w:val="20"/>
        </w:rPr>
        <w:t xml:space="preserve">obchodní </w:t>
      </w:r>
      <w:r w:rsidRPr="008C17B5">
        <w:rPr>
          <w:szCs w:val="20"/>
        </w:rPr>
        <w:t>společnosti</w:t>
      </w:r>
      <w:r w:rsidR="000877C8">
        <w:rPr>
          <w:szCs w:val="20"/>
        </w:rPr>
        <w:t xml:space="preserve"> objednatele</w:t>
      </w:r>
      <w:r w:rsidRPr="008C17B5">
        <w:rPr>
          <w:szCs w:val="20"/>
        </w:rPr>
        <w:t xml:space="preserve">. </w:t>
      </w:r>
    </w:p>
    <w:p w14:paraId="3E4DFCBF" w14:textId="77777777" w:rsidR="008C17B5" w:rsidRPr="008C17B5" w:rsidRDefault="008C17B5" w:rsidP="008C17B5">
      <w:pPr>
        <w:pStyle w:val="Odstavecseseznamem"/>
        <w:numPr>
          <w:ilvl w:val="0"/>
          <w:numId w:val="18"/>
        </w:numPr>
        <w:spacing w:before="240" w:after="0" w:line="276" w:lineRule="auto"/>
        <w:ind w:left="709" w:hanging="709"/>
        <w:rPr>
          <w:szCs w:val="20"/>
        </w:rPr>
      </w:pPr>
      <w:r w:rsidRPr="008C17B5">
        <w:rPr>
          <w:szCs w:val="20"/>
        </w:rPr>
        <w:t xml:space="preserve">Aktualizace dokumentace ISŘ inicializované potřebami </w:t>
      </w:r>
      <w:r w:rsidR="000877C8">
        <w:rPr>
          <w:szCs w:val="20"/>
        </w:rPr>
        <w:t xml:space="preserve">obchodní </w:t>
      </w:r>
      <w:r w:rsidRPr="008C17B5">
        <w:rPr>
          <w:szCs w:val="20"/>
        </w:rPr>
        <w:t>společnosti</w:t>
      </w:r>
      <w:r w:rsidR="000877C8">
        <w:rPr>
          <w:szCs w:val="20"/>
        </w:rPr>
        <w:t xml:space="preserve"> objednatele</w:t>
      </w:r>
      <w:r w:rsidRPr="008C17B5">
        <w:rPr>
          <w:szCs w:val="20"/>
        </w:rPr>
        <w:t>, změnou legislativních předpisů a oborových norem, a to především ČSN EN ISO 14001, ČSN EN ISO 9001, ČSN EN ISO 45001, ČSN ISO/IEC 27001 a ČSN EN ISO 50001</w:t>
      </w:r>
    </w:p>
    <w:p w14:paraId="50E5EF80" w14:textId="7B56D0BC" w:rsidR="008C17B5" w:rsidRPr="008C17B5" w:rsidRDefault="008C17B5" w:rsidP="008C17B5">
      <w:pPr>
        <w:pStyle w:val="Odstavecseseznamem"/>
        <w:numPr>
          <w:ilvl w:val="0"/>
          <w:numId w:val="18"/>
        </w:numPr>
        <w:spacing w:before="240" w:after="0" w:line="276" w:lineRule="auto"/>
        <w:ind w:left="709" w:hanging="709"/>
        <w:rPr>
          <w:szCs w:val="20"/>
        </w:rPr>
      </w:pPr>
      <w:r w:rsidRPr="008C17B5">
        <w:rPr>
          <w:szCs w:val="20"/>
        </w:rPr>
        <w:t>Provedení interních auditů v</w:t>
      </w:r>
      <w:r w:rsidR="000877C8">
        <w:rPr>
          <w:szCs w:val="20"/>
        </w:rPr>
        <w:t xml:space="preserve"> obchodní</w:t>
      </w:r>
      <w:r w:rsidRPr="008C17B5">
        <w:rPr>
          <w:szCs w:val="20"/>
        </w:rPr>
        <w:t xml:space="preserve"> společnosti </w:t>
      </w:r>
      <w:r w:rsidR="000877C8">
        <w:rPr>
          <w:szCs w:val="20"/>
        </w:rPr>
        <w:t xml:space="preserve">objednatele </w:t>
      </w:r>
      <w:r w:rsidRPr="008C17B5">
        <w:rPr>
          <w:szCs w:val="20"/>
        </w:rPr>
        <w:t>dle požadavku výše uvedených norem, včetně vypracování plánu auditu a zprávy z auditu.</w:t>
      </w:r>
    </w:p>
    <w:p w14:paraId="2021D040" w14:textId="77777777" w:rsidR="008C17B5" w:rsidRPr="008C17B5" w:rsidRDefault="008C17B5" w:rsidP="008C17B5">
      <w:pPr>
        <w:pStyle w:val="Odstavecseseznamem"/>
        <w:numPr>
          <w:ilvl w:val="0"/>
          <w:numId w:val="18"/>
        </w:numPr>
        <w:spacing w:before="240" w:after="0" w:line="276" w:lineRule="auto"/>
        <w:ind w:left="709" w:hanging="709"/>
        <w:rPr>
          <w:szCs w:val="20"/>
        </w:rPr>
      </w:pPr>
      <w:r w:rsidRPr="008C17B5">
        <w:rPr>
          <w:szCs w:val="20"/>
        </w:rPr>
        <w:t xml:space="preserve">Provedení školení zaměstnanců </w:t>
      </w:r>
      <w:r w:rsidR="000877C8">
        <w:rPr>
          <w:szCs w:val="20"/>
        </w:rPr>
        <w:t xml:space="preserve">obchodní </w:t>
      </w:r>
      <w:r w:rsidRPr="008C17B5">
        <w:rPr>
          <w:szCs w:val="20"/>
        </w:rPr>
        <w:t xml:space="preserve">společnosti </w:t>
      </w:r>
      <w:r w:rsidR="000877C8">
        <w:rPr>
          <w:szCs w:val="20"/>
        </w:rPr>
        <w:t xml:space="preserve">objednatele </w:t>
      </w:r>
      <w:r w:rsidRPr="008C17B5">
        <w:rPr>
          <w:szCs w:val="20"/>
        </w:rPr>
        <w:t>při změnách dokumentace ISŘ.</w:t>
      </w:r>
    </w:p>
    <w:p w14:paraId="4C3EFD6B" w14:textId="77777777" w:rsidR="008C17B5" w:rsidRPr="008C17B5" w:rsidRDefault="008C17B5" w:rsidP="008C17B5">
      <w:pPr>
        <w:pStyle w:val="Odstavecseseznamem"/>
        <w:numPr>
          <w:ilvl w:val="0"/>
          <w:numId w:val="18"/>
        </w:numPr>
        <w:spacing w:before="240" w:after="0" w:line="276" w:lineRule="auto"/>
        <w:ind w:left="709" w:hanging="709"/>
        <w:rPr>
          <w:szCs w:val="20"/>
        </w:rPr>
      </w:pPr>
      <w:r w:rsidRPr="008C17B5">
        <w:rPr>
          <w:szCs w:val="20"/>
        </w:rPr>
        <w:t xml:space="preserve">Zajištění účasti a podpory při dozorových a </w:t>
      </w:r>
      <w:proofErr w:type="spellStart"/>
      <w:r w:rsidRPr="008C17B5">
        <w:rPr>
          <w:szCs w:val="20"/>
        </w:rPr>
        <w:t>recertifikačních</w:t>
      </w:r>
      <w:proofErr w:type="spellEnd"/>
      <w:r w:rsidRPr="008C17B5">
        <w:rPr>
          <w:szCs w:val="20"/>
        </w:rPr>
        <w:t xml:space="preserve"> auditech certifikačního orgánu a dále při zákaznických či odběratelských auditech ISŘ.</w:t>
      </w:r>
    </w:p>
    <w:p w14:paraId="278CC75E" w14:textId="77777777" w:rsidR="008C17B5" w:rsidRPr="008C17B5" w:rsidRDefault="008C17B5" w:rsidP="008C17B5">
      <w:pPr>
        <w:pStyle w:val="Odstavecseseznamem"/>
        <w:numPr>
          <w:ilvl w:val="0"/>
          <w:numId w:val="18"/>
        </w:numPr>
        <w:spacing w:before="240" w:after="0" w:line="276" w:lineRule="auto"/>
        <w:ind w:left="709" w:hanging="709"/>
        <w:rPr>
          <w:szCs w:val="20"/>
        </w:rPr>
      </w:pPr>
      <w:r w:rsidRPr="008C17B5">
        <w:rPr>
          <w:szCs w:val="20"/>
        </w:rPr>
        <w:t xml:space="preserve">Zajištění podpory při realizaci preventivních a nápravných opatření, které vyplývají ze závěrů auditů a potřeb </w:t>
      </w:r>
      <w:r w:rsidR="000877C8">
        <w:rPr>
          <w:szCs w:val="20"/>
        </w:rPr>
        <w:t xml:space="preserve">obchodní </w:t>
      </w:r>
      <w:r w:rsidRPr="008C17B5">
        <w:rPr>
          <w:szCs w:val="20"/>
        </w:rPr>
        <w:t>společnosti</w:t>
      </w:r>
      <w:r w:rsidR="000877C8">
        <w:rPr>
          <w:szCs w:val="20"/>
        </w:rPr>
        <w:t xml:space="preserve"> objednatele</w:t>
      </w:r>
      <w:r w:rsidRPr="008C17B5">
        <w:rPr>
          <w:szCs w:val="20"/>
        </w:rPr>
        <w:t>.</w:t>
      </w:r>
    </w:p>
    <w:p w14:paraId="649BDF1D" w14:textId="34571998" w:rsidR="008C17B5" w:rsidRPr="004D3B10" w:rsidRDefault="008C17B5" w:rsidP="004D3B10">
      <w:pPr>
        <w:pStyle w:val="Odstavecseseznamem"/>
        <w:numPr>
          <w:ilvl w:val="0"/>
          <w:numId w:val="18"/>
        </w:numPr>
        <w:spacing w:before="240" w:after="0" w:line="276" w:lineRule="auto"/>
        <w:ind w:left="709" w:hanging="709"/>
        <w:rPr>
          <w:szCs w:val="20"/>
        </w:rPr>
      </w:pPr>
      <w:r w:rsidRPr="004D3B10">
        <w:rPr>
          <w:szCs w:val="20"/>
        </w:rPr>
        <w:t xml:space="preserve">Zajištění dohledu nad stavem </w:t>
      </w:r>
      <w:r w:rsidR="00516324" w:rsidRPr="004D3B10">
        <w:rPr>
          <w:szCs w:val="20"/>
        </w:rPr>
        <w:t>ISMS – systému</w:t>
      </w:r>
      <w:r w:rsidR="002947FF" w:rsidRPr="004D3B10">
        <w:rPr>
          <w:szCs w:val="20"/>
        </w:rPr>
        <w:t xml:space="preserve"> řízení bezpečnosti informací (ČSN ISO/IEC 27001)</w:t>
      </w:r>
      <w:r w:rsidRPr="004D3B10">
        <w:rPr>
          <w:szCs w:val="20"/>
        </w:rPr>
        <w:t xml:space="preserve">, aby byl v souladu se zákonem 181/2014 Sb. </w:t>
      </w:r>
      <w:r w:rsidR="002947FF" w:rsidRPr="00302356">
        <w:rPr>
          <w:rFonts w:cs="Calibri"/>
          <w:color w:val="000000"/>
          <w:shd w:val="clear" w:color="auto" w:fill="FFFFFF"/>
        </w:rPr>
        <w:t>o kybernetické bezpečnosti a o změně souvisejících zákonů (zákon o kybernetické bezpečnosti</w:t>
      </w:r>
      <w:r w:rsidR="00683C5F">
        <w:rPr>
          <w:szCs w:val="20"/>
        </w:rPr>
        <w:t xml:space="preserve">, </w:t>
      </w:r>
      <w:r w:rsidR="00683C5F" w:rsidRPr="00683C5F">
        <w:rPr>
          <w:szCs w:val="20"/>
        </w:rPr>
        <w:t>ve znění pozdějších předpisů</w:t>
      </w:r>
      <w:r w:rsidR="00683C5F">
        <w:rPr>
          <w:szCs w:val="20"/>
        </w:rPr>
        <w:t>)</w:t>
      </w:r>
      <w:r w:rsidRPr="004D3B10">
        <w:rPr>
          <w:szCs w:val="20"/>
        </w:rPr>
        <w:t xml:space="preserve"> a poskytnout podporu při definici rizik a jejich následné hodnocení včetně plánu zvládání </w:t>
      </w:r>
      <w:r w:rsidR="00516324" w:rsidRPr="004D3B10">
        <w:rPr>
          <w:szCs w:val="20"/>
        </w:rPr>
        <w:t>rizik,</w:t>
      </w:r>
      <w:r w:rsidR="004D3B10">
        <w:rPr>
          <w:szCs w:val="20"/>
        </w:rPr>
        <w:t xml:space="preserve"> a to s přihlédnutím k podmínkám GDPR.</w:t>
      </w:r>
    </w:p>
    <w:p w14:paraId="4ACB3A65" w14:textId="77777777" w:rsidR="008C17B5" w:rsidRPr="008C17B5" w:rsidRDefault="008C17B5" w:rsidP="008C17B5">
      <w:pPr>
        <w:pStyle w:val="Odstavecseseznamem"/>
        <w:numPr>
          <w:ilvl w:val="0"/>
          <w:numId w:val="18"/>
        </w:numPr>
        <w:spacing w:before="240" w:after="0" w:line="276" w:lineRule="auto"/>
        <w:ind w:left="709" w:hanging="709"/>
        <w:rPr>
          <w:szCs w:val="20"/>
        </w:rPr>
      </w:pPr>
      <w:r w:rsidRPr="008C17B5">
        <w:rPr>
          <w:szCs w:val="20"/>
        </w:rPr>
        <w:t>Zajištění podpory při vyhledávání a hodnocení environmentálních aspektů</w:t>
      </w:r>
      <w:r w:rsidR="004D3B10">
        <w:rPr>
          <w:szCs w:val="20"/>
        </w:rPr>
        <w:t xml:space="preserve"> (ISO 14001)</w:t>
      </w:r>
      <w:r w:rsidRPr="008C17B5">
        <w:rPr>
          <w:szCs w:val="20"/>
        </w:rPr>
        <w:t>.</w:t>
      </w:r>
    </w:p>
    <w:p w14:paraId="718C0CE1" w14:textId="0B474D9C" w:rsidR="008C17B5" w:rsidRPr="008C17B5" w:rsidRDefault="008C17B5" w:rsidP="008C17B5">
      <w:pPr>
        <w:pStyle w:val="Odstavecseseznamem"/>
        <w:numPr>
          <w:ilvl w:val="0"/>
          <w:numId w:val="18"/>
        </w:numPr>
        <w:spacing w:before="240" w:after="0" w:line="276" w:lineRule="auto"/>
        <w:ind w:left="709" w:hanging="709"/>
        <w:rPr>
          <w:szCs w:val="20"/>
        </w:rPr>
      </w:pPr>
      <w:r w:rsidRPr="008C17B5">
        <w:rPr>
          <w:szCs w:val="20"/>
        </w:rPr>
        <w:t>Zajištění podpory při vyhledávání a hodnocení rizik v oblasti BOZP</w:t>
      </w:r>
      <w:r w:rsidR="004D3B10">
        <w:rPr>
          <w:szCs w:val="20"/>
        </w:rPr>
        <w:t xml:space="preserve"> (IS</w:t>
      </w:r>
      <w:r w:rsidR="00516324">
        <w:rPr>
          <w:szCs w:val="20"/>
        </w:rPr>
        <w:t>O</w:t>
      </w:r>
      <w:r w:rsidR="004D3B10">
        <w:rPr>
          <w:szCs w:val="20"/>
        </w:rPr>
        <w:t xml:space="preserve"> 45001)</w:t>
      </w:r>
      <w:r w:rsidRPr="008C17B5">
        <w:rPr>
          <w:szCs w:val="20"/>
        </w:rPr>
        <w:t>.</w:t>
      </w:r>
    </w:p>
    <w:p w14:paraId="24D70BED" w14:textId="77777777" w:rsidR="00E860B4" w:rsidRPr="005F3C85" w:rsidRDefault="00E860B4" w:rsidP="005F3C85">
      <w:pPr>
        <w:spacing w:before="240" w:after="0" w:line="240" w:lineRule="auto"/>
        <w:rPr>
          <w:szCs w:val="20"/>
        </w:rPr>
      </w:pPr>
    </w:p>
    <w:p w14:paraId="68F1440F" w14:textId="77777777" w:rsidR="00C24FB2" w:rsidRDefault="00317A78" w:rsidP="00C24FB2">
      <w:pPr>
        <w:pStyle w:val="Odstavecseseznamem"/>
        <w:numPr>
          <w:ilvl w:val="0"/>
          <w:numId w:val="7"/>
        </w:numPr>
        <w:spacing w:line="240" w:lineRule="auto"/>
        <w:ind w:left="0" w:firstLine="0"/>
        <w:jc w:val="center"/>
        <w:rPr>
          <w:b/>
        </w:rPr>
      </w:pPr>
      <w:r>
        <w:rPr>
          <w:b/>
        </w:rPr>
        <w:t>C</w:t>
      </w:r>
      <w:r w:rsidRPr="0039014A">
        <w:rPr>
          <w:b/>
        </w:rPr>
        <w:t>ena</w:t>
      </w:r>
    </w:p>
    <w:p w14:paraId="0ACCDFCD" w14:textId="77777777" w:rsidR="005F3C85" w:rsidRPr="00C24FB2" w:rsidRDefault="005F3C85" w:rsidP="005F3C85">
      <w:pPr>
        <w:pStyle w:val="Odstavecseseznamem"/>
        <w:spacing w:line="240" w:lineRule="auto"/>
        <w:ind w:left="0"/>
        <w:rPr>
          <w:b/>
        </w:rPr>
      </w:pPr>
    </w:p>
    <w:p w14:paraId="70B2619C" w14:textId="78031398" w:rsidR="009975DE" w:rsidRDefault="009975DE" w:rsidP="009975DE">
      <w:pPr>
        <w:pStyle w:val="Odstavecseseznamem"/>
        <w:numPr>
          <w:ilvl w:val="0"/>
          <w:numId w:val="9"/>
        </w:numPr>
        <w:spacing w:before="240" w:after="0"/>
      </w:pPr>
      <w:r>
        <w:t xml:space="preserve">Cena za splnění předmětu smlouvy podle čl. </w:t>
      </w:r>
      <w:r w:rsidR="00C02261">
        <w:t>II.</w:t>
      </w:r>
      <w:r>
        <w:t xml:space="preserve"> je sjednána dohodou v souladu s ustanovením zákona č.526/1990 Sb. o cenách</w:t>
      </w:r>
      <w:r w:rsidR="004D3B10">
        <w:t xml:space="preserve"> </w:t>
      </w:r>
      <w:r w:rsidR="00C15391" w:rsidRPr="00C15391">
        <w:t>ve znění pozdějších předpisů</w:t>
      </w:r>
      <w:r w:rsidR="00C15391">
        <w:t>,</w:t>
      </w:r>
      <w:r w:rsidR="00641F1A">
        <w:t xml:space="preserve"> </w:t>
      </w:r>
      <w:r w:rsidR="00C15391">
        <w:t xml:space="preserve">která </w:t>
      </w:r>
      <w:r w:rsidR="004D3B10">
        <w:t xml:space="preserve">je výsledkem zadávacího řízení o nejvýhodnější nabídku. </w:t>
      </w:r>
      <w:r w:rsidR="00C15391">
        <w:t xml:space="preserve">K ceně </w:t>
      </w:r>
      <w:r w:rsidR="004D3B10">
        <w:t>za plnění dle této smlouvy</w:t>
      </w:r>
      <w:r>
        <w:t xml:space="preserve"> bude účtována DPH v souladu se zákonem č.235/2004 Sb., o dani z přidané hodnoty, ve znění pozdějších předpisů.</w:t>
      </w:r>
    </w:p>
    <w:p w14:paraId="065788F9" w14:textId="4AE18D8D" w:rsidR="0000015C" w:rsidRDefault="002D725A" w:rsidP="009975DE">
      <w:pPr>
        <w:pStyle w:val="Odstavecseseznamem"/>
        <w:numPr>
          <w:ilvl w:val="0"/>
          <w:numId w:val="9"/>
        </w:numPr>
        <w:spacing w:after="0"/>
      </w:pPr>
      <w:r>
        <w:t>Výše odměny z</w:t>
      </w:r>
      <w:r w:rsidR="0000015C">
        <w:t xml:space="preserve">a plnění předmětu díla podle čl. II je stanovena </w:t>
      </w:r>
      <w:r w:rsidR="00683C5F">
        <w:t>jako součin</w:t>
      </w:r>
      <w:r>
        <w:t xml:space="preserve"> vzájemně odsouhlasených časových výkonů </w:t>
      </w:r>
      <w:r w:rsidR="00E17BEE">
        <w:t xml:space="preserve">za </w:t>
      </w:r>
      <w:r w:rsidR="00683C5F">
        <w:t>čtvrtletí</w:t>
      </w:r>
      <w:r w:rsidR="00E17BEE">
        <w:t xml:space="preserve"> </w:t>
      </w:r>
      <w:r>
        <w:t xml:space="preserve">a hodinové sazby ve výši </w:t>
      </w:r>
      <w:r w:rsidR="00825CD6" w:rsidRPr="00825CD6">
        <w:rPr>
          <w:b/>
        </w:rPr>
        <w:t>(</w:t>
      </w:r>
      <w:r w:rsidR="00825CD6" w:rsidRPr="00825CD6">
        <w:rPr>
          <w:b/>
          <w:highlight w:val="yellow"/>
        </w:rPr>
        <w:t>doplnit</w:t>
      </w:r>
      <w:r w:rsidR="00825CD6" w:rsidRPr="00825CD6">
        <w:rPr>
          <w:b/>
        </w:rPr>
        <w:t>)</w:t>
      </w:r>
      <w:r>
        <w:t xml:space="preserve">,- Kč. </w:t>
      </w:r>
    </w:p>
    <w:p w14:paraId="672E7020" w14:textId="77777777" w:rsidR="000E1748" w:rsidRDefault="000E1748" w:rsidP="009975DE">
      <w:pPr>
        <w:pStyle w:val="Odstavecseseznamem"/>
        <w:numPr>
          <w:ilvl w:val="0"/>
          <w:numId w:val="9"/>
        </w:numPr>
        <w:spacing w:after="0"/>
      </w:pPr>
      <w:r w:rsidRPr="000E1748">
        <w:t>Minimální délka odsouhlaseného výkonu je ¼ hodiny.</w:t>
      </w:r>
    </w:p>
    <w:p w14:paraId="7B907A40" w14:textId="1ABF0A88" w:rsidR="00317A78" w:rsidRDefault="009975DE" w:rsidP="009975DE">
      <w:pPr>
        <w:pStyle w:val="Odstavecseseznamem"/>
        <w:numPr>
          <w:ilvl w:val="0"/>
          <w:numId w:val="9"/>
        </w:numPr>
        <w:spacing w:after="0"/>
      </w:pPr>
      <w:r>
        <w:t xml:space="preserve">Výše uvedená </w:t>
      </w:r>
      <w:r w:rsidR="00D277E4">
        <w:t>hodinová sazba</w:t>
      </w:r>
      <w:r>
        <w:t xml:space="preserve"> zahrnuje veškeré náklady a výdaje, jež poskytovatel případně vynaloží v rámci plnění této smlouvy</w:t>
      </w:r>
      <w:r w:rsidR="004D3B10">
        <w:t>, včetně dopravy, spotřeby médií, pojištění, daně a poplatk</w:t>
      </w:r>
      <w:r w:rsidR="00683C5F">
        <w:t>ů</w:t>
      </w:r>
      <w:r w:rsidR="004D3B10">
        <w:t>.</w:t>
      </w:r>
    </w:p>
    <w:p w14:paraId="70AEE867" w14:textId="77777777" w:rsidR="00317A78" w:rsidRDefault="00317A78" w:rsidP="00317A78">
      <w:pPr>
        <w:pStyle w:val="Odstavecseseznamem"/>
        <w:spacing w:after="0"/>
        <w:ind w:left="284"/>
      </w:pPr>
    </w:p>
    <w:p w14:paraId="01169AB4" w14:textId="77777777" w:rsidR="00474885" w:rsidRDefault="00474885" w:rsidP="00317A78">
      <w:pPr>
        <w:pStyle w:val="Odstavecseseznamem"/>
        <w:spacing w:after="0"/>
        <w:ind w:left="284"/>
      </w:pPr>
    </w:p>
    <w:p w14:paraId="5B39926D" w14:textId="77777777" w:rsidR="00317A78" w:rsidRPr="007B76DF" w:rsidRDefault="00317A78" w:rsidP="009975DE">
      <w:pPr>
        <w:pStyle w:val="Odstavecseseznamem"/>
        <w:numPr>
          <w:ilvl w:val="0"/>
          <w:numId w:val="7"/>
        </w:numPr>
        <w:ind w:left="0" w:firstLine="0"/>
        <w:jc w:val="center"/>
        <w:rPr>
          <w:b/>
        </w:rPr>
      </w:pPr>
      <w:r w:rsidRPr="007B76DF">
        <w:rPr>
          <w:b/>
        </w:rPr>
        <w:t>Doba plnění</w:t>
      </w:r>
    </w:p>
    <w:p w14:paraId="4AB351CA" w14:textId="77777777" w:rsidR="00317A78" w:rsidRDefault="00E860B4" w:rsidP="00317A78">
      <w:pPr>
        <w:spacing w:after="0"/>
      </w:pPr>
      <w:r w:rsidRPr="00E860B4">
        <w:t>Smlouva se uzavírá na dobu neurčitou</w:t>
      </w:r>
      <w:r w:rsidR="00317A78">
        <w:t xml:space="preserve">. </w:t>
      </w:r>
    </w:p>
    <w:p w14:paraId="5C5590CB" w14:textId="77777777" w:rsidR="005F3C85" w:rsidRDefault="005F3C85" w:rsidP="00317A78">
      <w:pPr>
        <w:spacing w:after="0"/>
      </w:pPr>
    </w:p>
    <w:p w14:paraId="59A0907D" w14:textId="77777777" w:rsidR="001D61A2" w:rsidRDefault="001D61A2" w:rsidP="00317A78">
      <w:pPr>
        <w:spacing w:after="0"/>
      </w:pPr>
    </w:p>
    <w:p w14:paraId="7FD3F5F4" w14:textId="77777777" w:rsidR="00317A78" w:rsidRPr="007B76DF" w:rsidRDefault="00317A78" w:rsidP="00C24FB2">
      <w:pPr>
        <w:pStyle w:val="Odstavecseseznamem"/>
        <w:numPr>
          <w:ilvl w:val="0"/>
          <w:numId w:val="7"/>
        </w:numPr>
        <w:ind w:left="0" w:firstLine="0"/>
        <w:jc w:val="center"/>
        <w:rPr>
          <w:b/>
        </w:rPr>
      </w:pPr>
      <w:r w:rsidRPr="007B76DF">
        <w:rPr>
          <w:b/>
        </w:rPr>
        <w:t>Místo plnění</w:t>
      </w:r>
    </w:p>
    <w:p w14:paraId="018F9D16" w14:textId="77777777" w:rsidR="00317A78" w:rsidRDefault="008354C1" w:rsidP="00317A78">
      <w:pPr>
        <w:spacing w:after="0"/>
      </w:pPr>
      <w:r w:rsidRPr="008354C1">
        <w:t xml:space="preserve">Místem plnění je v sídlo </w:t>
      </w:r>
      <w:r w:rsidR="004D3B10">
        <w:t xml:space="preserve">obchodní </w:t>
      </w:r>
      <w:r w:rsidRPr="008354C1">
        <w:t xml:space="preserve">společnosti </w:t>
      </w:r>
      <w:r>
        <w:t xml:space="preserve">objednatele </w:t>
      </w:r>
      <w:r w:rsidRPr="008354C1">
        <w:t>a jeho odloučen</w:t>
      </w:r>
      <w:r w:rsidR="00FC6C1F">
        <w:t>á</w:t>
      </w:r>
      <w:r w:rsidRPr="008354C1">
        <w:t xml:space="preserve"> pracoviště na území města Frýdku</w:t>
      </w:r>
      <w:r>
        <w:noBreakHyphen/>
      </w:r>
      <w:r w:rsidRPr="008354C1">
        <w:t>Místku.</w:t>
      </w:r>
    </w:p>
    <w:p w14:paraId="7D8A09D0" w14:textId="77777777" w:rsidR="008354C1" w:rsidRDefault="008354C1" w:rsidP="00317A78">
      <w:pPr>
        <w:spacing w:after="0"/>
      </w:pPr>
    </w:p>
    <w:p w14:paraId="33A772F1" w14:textId="77777777" w:rsidR="006311C7" w:rsidRDefault="006311C7" w:rsidP="00C24FB2">
      <w:pPr>
        <w:pStyle w:val="Odstavecseseznamem"/>
        <w:numPr>
          <w:ilvl w:val="0"/>
          <w:numId w:val="7"/>
        </w:numPr>
        <w:ind w:left="0" w:firstLine="0"/>
        <w:jc w:val="center"/>
        <w:rPr>
          <w:b/>
        </w:rPr>
      </w:pPr>
      <w:r w:rsidRPr="006311C7">
        <w:rPr>
          <w:b/>
        </w:rPr>
        <w:lastRenderedPageBreak/>
        <w:t>Práva a povinnosti smluvních stran</w:t>
      </w:r>
    </w:p>
    <w:p w14:paraId="39F148AA" w14:textId="77777777" w:rsidR="005F3C85" w:rsidRDefault="005F3C85" w:rsidP="005F3C85">
      <w:pPr>
        <w:pStyle w:val="Odstavecseseznamem"/>
        <w:ind w:left="0"/>
        <w:rPr>
          <w:b/>
        </w:rPr>
      </w:pPr>
    </w:p>
    <w:p w14:paraId="787D75AD" w14:textId="77777777" w:rsidR="006311C7" w:rsidRDefault="006311C7" w:rsidP="006311C7">
      <w:pPr>
        <w:pStyle w:val="Odstavecseseznamem"/>
        <w:numPr>
          <w:ilvl w:val="0"/>
          <w:numId w:val="10"/>
        </w:numPr>
        <w:spacing w:after="0"/>
      </w:pPr>
      <w:r>
        <w:t>Objednatel se zavazuje:</w:t>
      </w:r>
    </w:p>
    <w:p w14:paraId="0018587A" w14:textId="77777777" w:rsidR="006311C7" w:rsidRDefault="006311C7" w:rsidP="006311C7">
      <w:pPr>
        <w:pStyle w:val="Odstavecseseznamem"/>
        <w:numPr>
          <w:ilvl w:val="1"/>
          <w:numId w:val="10"/>
        </w:numPr>
        <w:spacing w:after="0"/>
      </w:pPr>
      <w:r>
        <w:t>Umožnit poskytovateli provádět konzultační a kontrolní činnosti a poskytnout potřebnou součinnost.</w:t>
      </w:r>
    </w:p>
    <w:p w14:paraId="4106DFB7" w14:textId="77777777" w:rsidR="006311C7" w:rsidRDefault="006311C7" w:rsidP="006311C7">
      <w:pPr>
        <w:pStyle w:val="Odstavecseseznamem"/>
        <w:numPr>
          <w:ilvl w:val="1"/>
          <w:numId w:val="10"/>
        </w:numPr>
        <w:spacing w:after="0"/>
      </w:pPr>
      <w:r>
        <w:t xml:space="preserve">Poskytovateli předložit na vyžádání veškerou dokumentaci související se zavedenými systémy </w:t>
      </w:r>
      <w:r w:rsidR="004D3B10">
        <w:t xml:space="preserve">dosavadního ISŘ </w:t>
      </w:r>
      <w:r>
        <w:t>a umožnit přístup do všech prostor, ve kterých je třeba ověřit plnění výše uvedených norem a poskytnout požadované informace.</w:t>
      </w:r>
    </w:p>
    <w:p w14:paraId="3FC14D71" w14:textId="27A35353" w:rsidR="006311C7" w:rsidRDefault="006311C7" w:rsidP="006311C7">
      <w:pPr>
        <w:pStyle w:val="Odstavecseseznamem"/>
        <w:numPr>
          <w:ilvl w:val="1"/>
          <w:numId w:val="10"/>
        </w:numPr>
        <w:spacing w:after="0"/>
      </w:pPr>
      <w:r>
        <w:t xml:space="preserve">Udělit poskytovateli potřebné pravomoci v otázkách souvisejících se systémem řízení </w:t>
      </w:r>
      <w:r w:rsidR="004D3B10">
        <w:t xml:space="preserve">v obchodní </w:t>
      </w:r>
      <w:r>
        <w:t>společnosti.</w:t>
      </w:r>
    </w:p>
    <w:p w14:paraId="75C4C6FB" w14:textId="2388819E" w:rsidR="006311C7" w:rsidRDefault="006311C7" w:rsidP="006311C7">
      <w:pPr>
        <w:pStyle w:val="Odstavecseseznamem"/>
        <w:numPr>
          <w:ilvl w:val="1"/>
          <w:numId w:val="10"/>
        </w:numPr>
        <w:spacing w:after="0"/>
      </w:pPr>
      <w:r>
        <w:t>Umožnit provedení interních audit</w:t>
      </w:r>
      <w:r w:rsidR="00FC6C1F">
        <w:t>ů</w:t>
      </w:r>
      <w:r>
        <w:t xml:space="preserve"> v rozsahu uvedeném v plánu interních audit</w:t>
      </w:r>
      <w:r w:rsidR="0086602D">
        <w:t>ů</w:t>
      </w:r>
      <w:r>
        <w:t>.</w:t>
      </w:r>
    </w:p>
    <w:p w14:paraId="191290B5" w14:textId="77777777" w:rsidR="00971888" w:rsidRDefault="00D25B20" w:rsidP="00D25B20">
      <w:pPr>
        <w:pStyle w:val="Odstavecseseznamem"/>
        <w:numPr>
          <w:ilvl w:val="1"/>
          <w:numId w:val="10"/>
        </w:numPr>
        <w:spacing w:after="0"/>
      </w:pPr>
      <w:r>
        <w:t>O</w:t>
      </w:r>
      <w:r w:rsidR="00971888">
        <w:t>dsouhlasit příslušný</w:t>
      </w:r>
      <w:r>
        <w:t xml:space="preserve"> výkaz o poskytnutých službách, pokud plnění bylo dodáno řádně dle příslušných ustanovení Smlouvy</w:t>
      </w:r>
      <w:r w:rsidR="00971888">
        <w:t>. Odsouhlasení příslušného</w:t>
      </w:r>
      <w:r>
        <w:t xml:space="preserve"> vý</w:t>
      </w:r>
      <w:r w:rsidR="00971888">
        <w:t>kazu Objednatelem je podmínkou pro vznik oprávnění Poskytovatele vystavit Fakturu</w:t>
      </w:r>
      <w:r>
        <w:t xml:space="preserve"> </w:t>
      </w:r>
      <w:r w:rsidR="00971888">
        <w:t>za poskytnut</w:t>
      </w:r>
      <w:r>
        <w:t>é s</w:t>
      </w:r>
      <w:r w:rsidR="00971888">
        <w:t>lužb</w:t>
      </w:r>
      <w:r>
        <w:t>y</w:t>
      </w:r>
      <w:r w:rsidR="00971888">
        <w:t xml:space="preserve"> za příslušné období. Pokud se</w:t>
      </w:r>
      <w:r>
        <w:t xml:space="preserve"> Objednatel k výkazu poskytnutých Služeb rozvoje nevyjádří nejpozději 14. den měsíce následujícího po období, kdy byly služby poskytnuty, považuje se výkaz za odsouhlasený.</w:t>
      </w:r>
    </w:p>
    <w:p w14:paraId="78463D9A" w14:textId="77777777" w:rsidR="006311C7" w:rsidRDefault="006311C7" w:rsidP="006311C7">
      <w:pPr>
        <w:spacing w:after="0"/>
      </w:pPr>
    </w:p>
    <w:p w14:paraId="39B63295" w14:textId="1DCC4877" w:rsidR="006311C7" w:rsidRDefault="006311C7" w:rsidP="006311C7">
      <w:pPr>
        <w:pStyle w:val="Odstavecseseznamem"/>
        <w:numPr>
          <w:ilvl w:val="0"/>
          <w:numId w:val="10"/>
        </w:numPr>
        <w:spacing w:after="0"/>
      </w:pPr>
      <w:r>
        <w:t>Objednatel má právo:</w:t>
      </w:r>
    </w:p>
    <w:p w14:paraId="1DBF5EDD" w14:textId="77777777" w:rsidR="006311C7" w:rsidRDefault="006311C7" w:rsidP="006311C7">
      <w:pPr>
        <w:pStyle w:val="Odstavecseseznamem"/>
        <w:numPr>
          <w:ilvl w:val="1"/>
          <w:numId w:val="10"/>
        </w:numPr>
        <w:spacing w:after="0"/>
      </w:pPr>
      <w:r>
        <w:t xml:space="preserve">Být v době plnění informován o stavu plnění odborné pomoci při správě integrovaného systému </w:t>
      </w:r>
      <w:r w:rsidR="00197056">
        <w:t>řízení,</w:t>
      </w:r>
      <w:r>
        <w:t xml:space="preserve"> pokud o to požádá.</w:t>
      </w:r>
    </w:p>
    <w:p w14:paraId="51A70ADE" w14:textId="45CC7E8E" w:rsidR="006311C7" w:rsidRDefault="006311C7" w:rsidP="006311C7">
      <w:pPr>
        <w:pStyle w:val="Odstavecseseznamem"/>
        <w:numPr>
          <w:ilvl w:val="1"/>
          <w:numId w:val="10"/>
        </w:numPr>
        <w:spacing w:after="0"/>
      </w:pPr>
      <w:r>
        <w:t>Být seznámen s výsledky interních audit</w:t>
      </w:r>
      <w:r w:rsidR="0086602D">
        <w:t>ů</w:t>
      </w:r>
      <w:r>
        <w:t>.</w:t>
      </w:r>
    </w:p>
    <w:p w14:paraId="1058C489" w14:textId="77777777" w:rsidR="006311C7" w:rsidRDefault="006311C7" w:rsidP="006311C7">
      <w:pPr>
        <w:spacing w:after="0"/>
      </w:pPr>
    </w:p>
    <w:p w14:paraId="38788619" w14:textId="77777777" w:rsidR="00680337" w:rsidRDefault="00680337" w:rsidP="00680337">
      <w:pPr>
        <w:pStyle w:val="Odstavecseseznamem"/>
        <w:numPr>
          <w:ilvl w:val="0"/>
          <w:numId w:val="10"/>
        </w:numPr>
        <w:spacing w:after="0"/>
      </w:pPr>
      <w:r>
        <w:t>Poskytovatel se zavazuje:</w:t>
      </w:r>
    </w:p>
    <w:p w14:paraId="02BD4E1E" w14:textId="479F1ACD" w:rsidR="00895DCB" w:rsidRDefault="00895DCB" w:rsidP="00895DCB">
      <w:pPr>
        <w:pStyle w:val="Odstavecseseznamem"/>
        <w:numPr>
          <w:ilvl w:val="1"/>
          <w:numId w:val="10"/>
        </w:numPr>
        <w:spacing w:after="0"/>
      </w:pPr>
      <w:r>
        <w:t>Zaji</w:t>
      </w:r>
      <w:r w:rsidR="006B63E0">
        <w:t>s</w:t>
      </w:r>
      <w:r>
        <w:t>t</w:t>
      </w:r>
      <w:r w:rsidR="006B63E0">
        <w:t>it plnění předmětu smlouvy osobami</w:t>
      </w:r>
      <w:r>
        <w:t>, kteří</w:t>
      </w:r>
      <w:r w:rsidR="006B63E0">
        <w:t xml:space="preserve"> byli uvedeni v seznamu osob splňující</w:t>
      </w:r>
      <w:r w:rsidR="0086602D">
        <w:t>ch</w:t>
      </w:r>
      <w:r w:rsidR="006B63E0">
        <w:t xml:space="preserve"> technickou kvalifikaci</w:t>
      </w:r>
      <w:r w:rsidR="00474885">
        <w:t>,</w:t>
      </w:r>
      <w:r>
        <w:t xml:space="preserve"> </w:t>
      </w:r>
      <w:r w:rsidR="006B63E0">
        <w:t>d</w:t>
      </w:r>
      <w:r w:rsidR="00474885">
        <w:t>le</w:t>
      </w:r>
      <w:r>
        <w:t xml:space="preserve"> podmínky výběrového řízení na „</w:t>
      </w:r>
      <w:r w:rsidRPr="00895DCB">
        <w:t>Odborn</w:t>
      </w:r>
      <w:r>
        <w:t>ou</w:t>
      </w:r>
      <w:r w:rsidRPr="00895DCB">
        <w:t xml:space="preserve"> pomoc – správ</w:t>
      </w:r>
      <w:r>
        <w:t>u</w:t>
      </w:r>
      <w:r w:rsidRPr="00895DCB">
        <w:t xml:space="preserve"> integrovaného systému řízení </w:t>
      </w:r>
      <w:r w:rsidR="006B63E0">
        <w:t>"</w:t>
      </w:r>
      <w:r>
        <w:t>.</w:t>
      </w:r>
    </w:p>
    <w:p w14:paraId="336A90FE" w14:textId="77777777" w:rsidR="00680337" w:rsidRDefault="00680337" w:rsidP="00680337">
      <w:pPr>
        <w:pStyle w:val="Odstavecseseznamem"/>
        <w:numPr>
          <w:ilvl w:val="1"/>
          <w:numId w:val="10"/>
        </w:numPr>
        <w:spacing w:after="0"/>
      </w:pPr>
      <w:r>
        <w:t xml:space="preserve">Zachovávat mlčenlivost o všech Důvěrných informacích, o nichž se dozvěděl a dozví při poskytování služeb dle této smlouvy, a zavazuje se tyto utajovat. </w:t>
      </w:r>
    </w:p>
    <w:p w14:paraId="1A492DAE" w14:textId="77777777" w:rsidR="00680337" w:rsidRDefault="00680337" w:rsidP="00680337">
      <w:pPr>
        <w:pStyle w:val="Odstavecseseznamem"/>
        <w:numPr>
          <w:ilvl w:val="1"/>
          <w:numId w:val="10"/>
        </w:numPr>
        <w:spacing w:after="0"/>
      </w:pPr>
      <w:r>
        <w:t xml:space="preserve">Důvěrné informace nezpřístupnit žádné třetí osobě, s těmito nakládat pouze za účelem plnění úkolů při poskytování služeb dle této smlouvy a ve prospěch objednatele a tyto nevyužívat ve prospěch svůj ani ve prospěch třetí osoby. </w:t>
      </w:r>
    </w:p>
    <w:p w14:paraId="046A28AF" w14:textId="77777777" w:rsidR="00680337" w:rsidRDefault="00680337" w:rsidP="00680337">
      <w:pPr>
        <w:pStyle w:val="Odstavecseseznamem"/>
        <w:numPr>
          <w:ilvl w:val="1"/>
          <w:numId w:val="10"/>
        </w:numPr>
        <w:spacing w:after="0"/>
      </w:pPr>
      <w:r>
        <w:t>Pořizovat jakékoliv kopie Důvěrných informací je zhotovitel oprávněn pouze s předchozím písemným souhlasem objednatele a výlučně za účelem plnění úkolů při poskytování služeb.</w:t>
      </w:r>
    </w:p>
    <w:p w14:paraId="77A76516" w14:textId="77777777" w:rsidR="00680337" w:rsidRDefault="00680337" w:rsidP="00680337">
      <w:pPr>
        <w:pStyle w:val="Odstavecseseznamem"/>
        <w:numPr>
          <w:ilvl w:val="1"/>
          <w:numId w:val="10"/>
        </w:numPr>
        <w:spacing w:after="0"/>
      </w:pPr>
      <w:r>
        <w:t>Zachovávat mlčenlivost rovněž o všech bezpečnostních opatřeních, ochraně a zabezpečení Důvěrných informací, tyto utajovat a nezpřístupnit třetí osobě.</w:t>
      </w:r>
    </w:p>
    <w:p w14:paraId="6BDE00F0" w14:textId="77777777" w:rsidR="00680337" w:rsidRDefault="001E5D5A" w:rsidP="00680337">
      <w:pPr>
        <w:pStyle w:val="Odstavecseseznamem"/>
        <w:numPr>
          <w:ilvl w:val="1"/>
          <w:numId w:val="10"/>
        </w:numPr>
        <w:spacing w:after="0"/>
      </w:pPr>
      <w:r>
        <w:t>Z</w:t>
      </w:r>
      <w:r w:rsidR="00680337">
        <w:t xml:space="preserve">achovávat </w:t>
      </w:r>
      <w:r>
        <w:t xml:space="preserve">povinnost mlčenlivosti a s tím související povinnosti stanovené v této smlouvě </w:t>
      </w:r>
      <w:r w:rsidR="00680337">
        <w:t>i po ukončení poskytování služeb dle této smlouvy, a to až do okamžiku, kdy bude těchto</w:t>
      </w:r>
      <w:r>
        <w:t xml:space="preserve"> </w:t>
      </w:r>
      <w:r w:rsidR="00680337">
        <w:t>povinností ze strany objednatele písemně zproštěn nebo do okamžiku, kdy se Důvěrné informace</w:t>
      </w:r>
      <w:r>
        <w:t xml:space="preserve"> </w:t>
      </w:r>
      <w:r w:rsidR="00680337">
        <w:t xml:space="preserve">stanou veřejně dostupné (ne však v důsledku porušení povinnosti </w:t>
      </w:r>
      <w:r>
        <w:t>poskytovatele</w:t>
      </w:r>
      <w:r w:rsidR="00680337">
        <w:t>).</w:t>
      </w:r>
    </w:p>
    <w:p w14:paraId="3ED6F272" w14:textId="77CED1D6" w:rsidR="001E5D5A" w:rsidRDefault="001E5D5A" w:rsidP="001E5D5A">
      <w:pPr>
        <w:pStyle w:val="Odstavecseseznamem"/>
        <w:numPr>
          <w:ilvl w:val="1"/>
          <w:numId w:val="10"/>
        </w:numPr>
        <w:spacing w:after="0"/>
      </w:pPr>
      <w:r>
        <w:t xml:space="preserve">V případě, že poskytovatel poruší některou z povinností výslovně stanovených v této části smlouvy, uhradí v plném rozsahu veškeré škody, které v důsledku toho vzniknou. Poskytovatel je srozuměn s tím, že porušením těchto povinností hrozí vznik rozsáhlé škody, když byl řádně objednatelem poučen o důvěrnosti předmětných informací a jejich zásadním významu pro objednatele. Zhotovitel je srozuměn rovněž s tím, že porušením kterékoliv z povinností stanovených v této části smlouvy, zejména </w:t>
      </w:r>
      <w:r>
        <w:lastRenderedPageBreak/>
        <w:t>povinností týkajících se citlivých a osobních údajů hrozí objednateli vysoká pokuta ze strany státních orgánů.</w:t>
      </w:r>
    </w:p>
    <w:p w14:paraId="571FD19C" w14:textId="2E03CAAA" w:rsidR="00A17B19" w:rsidRDefault="00197056" w:rsidP="00BF7EB4">
      <w:pPr>
        <w:pStyle w:val="Odstavecseseznamem"/>
        <w:numPr>
          <w:ilvl w:val="1"/>
          <w:numId w:val="10"/>
        </w:numPr>
        <w:spacing w:after="0"/>
      </w:pPr>
      <w:r>
        <w:t>P</w:t>
      </w:r>
      <w:r w:rsidR="00D25B20">
        <w:t>ředložit k akceptaci výkaz o poskytnutých službách včetně počtu odpracovaných hodin</w:t>
      </w:r>
      <w:r>
        <w:t xml:space="preserve"> </w:t>
      </w:r>
      <w:r w:rsidR="00971888">
        <w:t xml:space="preserve">vždy nejpozději do 10 pracovních dní od skončení příslušného </w:t>
      </w:r>
      <w:r w:rsidR="0086602D">
        <w:t>čtvrtletí</w:t>
      </w:r>
      <w:r>
        <w:t>.</w:t>
      </w:r>
    </w:p>
    <w:p w14:paraId="7AB93179" w14:textId="77777777" w:rsidR="001E5D5A" w:rsidRDefault="001E5D5A" w:rsidP="001E5D5A">
      <w:pPr>
        <w:pStyle w:val="Odstavecseseznamem"/>
        <w:spacing w:after="0"/>
        <w:ind w:left="1440"/>
      </w:pPr>
    </w:p>
    <w:p w14:paraId="2DABED10" w14:textId="14604BD6" w:rsidR="00317A78" w:rsidRDefault="00C02261" w:rsidP="00C02261">
      <w:pPr>
        <w:pStyle w:val="Odstavecseseznamem"/>
        <w:numPr>
          <w:ilvl w:val="0"/>
          <w:numId w:val="10"/>
        </w:numPr>
        <w:spacing w:after="0"/>
      </w:pPr>
      <w:r>
        <w:t>Poskytovatel je oprávněn v</w:t>
      </w:r>
      <w:r w:rsidR="006311C7">
        <w:t>yžadovat od objednatele poskytnutí všech podklad</w:t>
      </w:r>
      <w:r w:rsidR="00D24C51">
        <w:t>ů</w:t>
      </w:r>
      <w:r w:rsidR="006311C7">
        <w:t xml:space="preserve"> a další potřebné součinnosti nezbytné pro splnění smlouvy.</w:t>
      </w:r>
    </w:p>
    <w:p w14:paraId="37B24D43" w14:textId="77777777" w:rsidR="001D61A2" w:rsidRDefault="001D61A2" w:rsidP="00317A78">
      <w:pPr>
        <w:spacing w:after="0"/>
      </w:pPr>
    </w:p>
    <w:p w14:paraId="4E4AE3FF" w14:textId="77777777" w:rsidR="00317A78" w:rsidRDefault="00317A78" w:rsidP="00317A78">
      <w:pPr>
        <w:pStyle w:val="Odstavecseseznamem"/>
        <w:numPr>
          <w:ilvl w:val="0"/>
          <w:numId w:val="7"/>
        </w:numPr>
        <w:spacing w:after="0"/>
        <w:ind w:left="0" w:firstLine="0"/>
        <w:jc w:val="center"/>
        <w:rPr>
          <w:b/>
        </w:rPr>
      </w:pPr>
      <w:r w:rsidRPr="00EB00ED">
        <w:rPr>
          <w:b/>
        </w:rPr>
        <w:t>Platební podmínky</w:t>
      </w:r>
    </w:p>
    <w:p w14:paraId="2A19939E" w14:textId="77777777" w:rsidR="005F3C85" w:rsidRPr="00EB00ED" w:rsidRDefault="005F3C85" w:rsidP="005F3C85">
      <w:pPr>
        <w:pStyle w:val="Odstavecseseznamem"/>
        <w:spacing w:after="0"/>
        <w:ind w:left="0"/>
        <w:rPr>
          <w:b/>
        </w:rPr>
      </w:pPr>
    </w:p>
    <w:p w14:paraId="3240D00B" w14:textId="77777777" w:rsidR="00317A78" w:rsidRDefault="00317A78" w:rsidP="00317A78">
      <w:pPr>
        <w:pStyle w:val="Odstavecseseznamem"/>
        <w:numPr>
          <w:ilvl w:val="0"/>
          <w:numId w:val="13"/>
        </w:numPr>
        <w:spacing w:after="0"/>
        <w:ind w:left="426" w:hanging="426"/>
      </w:pPr>
      <w:r>
        <w:t xml:space="preserve">Podkladem pro úhradu ceny </w:t>
      </w:r>
      <w:r w:rsidR="00C02261">
        <w:t xml:space="preserve">plnění předmětu smlouvy </w:t>
      </w:r>
      <w:r>
        <w:t>bude faktura, která bude mít náležitosti daňového dokladu dle § 28 zákona č. 235/2004 Sb., o dani z přidané hodnoty, ve znění pozdějších předpisů.</w:t>
      </w:r>
    </w:p>
    <w:p w14:paraId="7B79FFF2" w14:textId="030FA4A0" w:rsidR="00E17BEE" w:rsidRPr="00D277E4" w:rsidRDefault="00E17BEE" w:rsidP="00BF7EB4">
      <w:pPr>
        <w:pStyle w:val="Odstavecseseznamem"/>
        <w:numPr>
          <w:ilvl w:val="0"/>
          <w:numId w:val="13"/>
        </w:numPr>
        <w:spacing w:after="0"/>
        <w:ind w:left="426" w:hanging="426"/>
      </w:pPr>
      <w:r w:rsidRPr="00D277E4">
        <w:t xml:space="preserve">Faktury budou vystavovány </w:t>
      </w:r>
      <w:r w:rsidR="0086602D">
        <w:t>po skončení čtvrtletí</w:t>
      </w:r>
      <w:r w:rsidR="00A17B19">
        <w:t xml:space="preserve">, </w:t>
      </w:r>
      <w:r w:rsidR="00BF7EB4">
        <w:t>p</w:t>
      </w:r>
      <w:r w:rsidR="00A17B19">
        <w:t>oskytovatel vystaví příslušnou Fakturu</w:t>
      </w:r>
      <w:r w:rsidR="00BF7EB4">
        <w:t xml:space="preserve"> </w:t>
      </w:r>
      <w:r w:rsidR="00A17B19">
        <w:t xml:space="preserve">nejpozději </w:t>
      </w:r>
      <w:r w:rsidR="00BF7EB4">
        <w:t xml:space="preserve">do </w:t>
      </w:r>
      <w:r w:rsidR="00A17B19">
        <w:t>15 d</w:t>
      </w:r>
      <w:r w:rsidR="00BF7EB4">
        <w:t>nů</w:t>
      </w:r>
      <w:r w:rsidRPr="00D277E4">
        <w:t>.</w:t>
      </w:r>
    </w:p>
    <w:p w14:paraId="125CF1D6" w14:textId="77777777" w:rsidR="00317A78" w:rsidRDefault="00C24FB2" w:rsidP="00317A78">
      <w:pPr>
        <w:pStyle w:val="Odstavecseseznamem"/>
        <w:numPr>
          <w:ilvl w:val="0"/>
          <w:numId w:val="13"/>
        </w:numPr>
        <w:spacing w:after="0"/>
        <w:ind w:left="426" w:hanging="426"/>
      </w:pPr>
      <w:r>
        <w:t xml:space="preserve">Poskytovatel </w:t>
      </w:r>
      <w:r w:rsidR="00317A78">
        <w:t>jako plátce daně z přidané hodnoty podpisem této smlouvy prohlašuje, že splnil svou povinnost stanovenou mu zákonem č. 235/2004 Sb., o dani z přidané hodnoty, v platném znění, k oznámení čísel svých bankovních účtů používaných pro ekonomickou činnost svému správci daně a zavazuje se na fakturách- daňových dokladech, které budou vystavovány za plnění poskytnutá dle této smlouvy uvádět pro platby vždy výhradně ta čísla účtů, která byla oznámena příslušnému správci daně a jím zveřejněna v databázi umožňující dálkový přístup.</w:t>
      </w:r>
    </w:p>
    <w:p w14:paraId="12B6493B" w14:textId="77777777" w:rsidR="00317A78" w:rsidRDefault="00317A78" w:rsidP="00317A78">
      <w:pPr>
        <w:pStyle w:val="Odstavecseseznamem"/>
        <w:numPr>
          <w:ilvl w:val="0"/>
          <w:numId w:val="13"/>
        </w:numPr>
        <w:spacing w:after="0"/>
        <w:ind w:left="426" w:hanging="426"/>
      </w:pPr>
      <w:r>
        <w:t>Lhůta splatnosti faktury je dohodou stanovena na 14 kalendářních dnů ode dne vystavení faktury. Stejná lhůta splatnosti platí i při placení jiných plateb (např. úroků z prodlení, smluvních pokut, náhrad škody aj.).</w:t>
      </w:r>
    </w:p>
    <w:p w14:paraId="76240F88" w14:textId="0A2B3B89" w:rsidR="00317A78" w:rsidRDefault="00317A78" w:rsidP="00317A78">
      <w:pPr>
        <w:pStyle w:val="Odstavecseseznamem"/>
        <w:numPr>
          <w:ilvl w:val="0"/>
          <w:numId w:val="13"/>
        </w:numPr>
        <w:spacing w:after="0"/>
        <w:ind w:left="426" w:hanging="426"/>
      </w:pPr>
      <w:r>
        <w:t xml:space="preserve">Nebude-li faktura obsahovat některou povinnou nebo dohodnutou náležitost nebo bude chybně vyúčtována cena nebo DPH, je </w:t>
      </w:r>
      <w:r w:rsidR="00C24FB2">
        <w:t>objednatel</w:t>
      </w:r>
      <w:r>
        <w:t xml:space="preserve"> oprávněn fakturu před uplynutím lhůty splatnosti vrátit druhé smluvní straně k provedení opravy. Ve vrácené faktuře vyznačí důvod vrácení. P</w:t>
      </w:r>
      <w:r w:rsidR="00C24FB2">
        <w:t>oskytovatel</w:t>
      </w:r>
      <w:r>
        <w:t xml:space="preserve"> provede opravu vystavením nové faktury. Od doby odeslání vadné faktury přestává běžet původní lhůta splatnosti. Celá lhůta splatnosti běží opět ode dne </w:t>
      </w:r>
      <w:r w:rsidR="0086602D">
        <w:t xml:space="preserve">vystavení </w:t>
      </w:r>
      <w:r>
        <w:t xml:space="preserve">nově vyhotovené faktury </w:t>
      </w:r>
      <w:r w:rsidR="00C24FB2">
        <w:t>objednateli</w:t>
      </w:r>
      <w:r>
        <w:t>.</w:t>
      </w:r>
    </w:p>
    <w:p w14:paraId="6074CFF6" w14:textId="77777777" w:rsidR="00317A78" w:rsidRDefault="00317A78" w:rsidP="00317A78">
      <w:pPr>
        <w:pStyle w:val="Odstavecseseznamem"/>
        <w:numPr>
          <w:ilvl w:val="0"/>
          <w:numId w:val="13"/>
        </w:numPr>
        <w:spacing w:after="0"/>
        <w:ind w:left="426" w:hanging="426"/>
      </w:pPr>
      <w:r>
        <w:t xml:space="preserve">Povinnost zaplatit cenu </w:t>
      </w:r>
      <w:r w:rsidR="00C24FB2">
        <w:t>plnění předmětu smlouvy</w:t>
      </w:r>
      <w:r>
        <w:t xml:space="preserve"> je splněna dnem odepsání příslušné částky z účtu kupujícího ve prospěch účtu prodávajícího.</w:t>
      </w:r>
    </w:p>
    <w:p w14:paraId="7C5AFE6F" w14:textId="77777777" w:rsidR="00317A78" w:rsidRDefault="00317A78" w:rsidP="00317A78">
      <w:pPr>
        <w:spacing w:after="0"/>
      </w:pPr>
    </w:p>
    <w:p w14:paraId="49DFE202" w14:textId="77777777" w:rsidR="00317A78" w:rsidRDefault="00317A78" w:rsidP="00317A78">
      <w:pPr>
        <w:pStyle w:val="Odstavecseseznamem"/>
        <w:numPr>
          <w:ilvl w:val="0"/>
          <w:numId w:val="7"/>
        </w:numPr>
        <w:spacing w:after="0"/>
        <w:ind w:left="0" w:firstLine="0"/>
        <w:jc w:val="center"/>
        <w:rPr>
          <w:b/>
        </w:rPr>
      </w:pPr>
      <w:r w:rsidRPr="00EB00ED">
        <w:rPr>
          <w:b/>
        </w:rPr>
        <w:t>Smluvní pokuty</w:t>
      </w:r>
    </w:p>
    <w:p w14:paraId="2CEE3FF8" w14:textId="77777777" w:rsidR="005F3C85" w:rsidRPr="00EB00ED" w:rsidRDefault="005F3C85" w:rsidP="005F3C85">
      <w:pPr>
        <w:pStyle w:val="Odstavecseseznamem"/>
        <w:spacing w:after="0"/>
        <w:ind w:left="0"/>
        <w:rPr>
          <w:b/>
        </w:rPr>
      </w:pPr>
    </w:p>
    <w:p w14:paraId="4B18CD62" w14:textId="3797AD19" w:rsidR="00317A78" w:rsidRDefault="00C24FB2" w:rsidP="00C24FB2">
      <w:pPr>
        <w:pStyle w:val="Odstavecseseznamem"/>
        <w:numPr>
          <w:ilvl w:val="0"/>
          <w:numId w:val="14"/>
        </w:numPr>
        <w:spacing w:after="0"/>
        <w:ind w:left="426" w:hanging="426"/>
      </w:pPr>
      <w:r w:rsidRPr="00C24FB2">
        <w:t>V případě, že bude objednatel v prodlení s placením výše uvedených peněžitých závazk</w:t>
      </w:r>
      <w:r w:rsidR="0086602D">
        <w:t>ů</w:t>
      </w:r>
      <w:r w:rsidRPr="00C24FB2">
        <w:t>, má zhotovitel právo po zvážení všech okolností požadovat úrok z prodlení ve výši 0,05</w:t>
      </w:r>
      <w:r w:rsidR="00516324">
        <w:t xml:space="preserve"> </w:t>
      </w:r>
      <w:r w:rsidRPr="00C24FB2">
        <w:t xml:space="preserve">% z dlužné částky za každý kalendářní den prodlení. Úrok z prodlení bude uplatněn penalizační fakturou, jejíž splatnost bude 14 dní ode dne </w:t>
      </w:r>
      <w:r w:rsidR="0086602D">
        <w:t>vystaven</w:t>
      </w:r>
      <w:r w:rsidR="00D72D77">
        <w:t>í</w:t>
      </w:r>
      <w:r w:rsidR="0086602D" w:rsidRPr="00C24FB2">
        <w:t xml:space="preserve"> </w:t>
      </w:r>
      <w:r w:rsidRPr="00C24FB2">
        <w:t>objednateli</w:t>
      </w:r>
      <w:r>
        <w:t>.</w:t>
      </w:r>
    </w:p>
    <w:p w14:paraId="118BFC99" w14:textId="77777777" w:rsidR="001E5D5A" w:rsidRDefault="001E5D5A" w:rsidP="005F3C85">
      <w:pPr>
        <w:pStyle w:val="Odstavecseseznamem"/>
        <w:numPr>
          <w:ilvl w:val="0"/>
          <w:numId w:val="14"/>
        </w:numPr>
        <w:spacing w:after="0"/>
        <w:ind w:left="426" w:hanging="426"/>
      </w:pPr>
      <w:r w:rsidRPr="00474885">
        <w:t>Ujednání o smluvní pokutě nezbavuje objednatele nároku na náhradu škody způsobené mu v</w:t>
      </w:r>
      <w:r w:rsidR="005F3C85" w:rsidRPr="00474885">
        <w:t xml:space="preserve"> </w:t>
      </w:r>
      <w:r w:rsidRPr="00474885">
        <w:t>důsledku prodlení zhotovitele.</w:t>
      </w:r>
    </w:p>
    <w:p w14:paraId="426644CF" w14:textId="18754516" w:rsidR="007345DF" w:rsidRDefault="004D3B10" w:rsidP="005F3C85">
      <w:pPr>
        <w:pStyle w:val="Odstavecseseznamem"/>
        <w:numPr>
          <w:ilvl w:val="0"/>
          <w:numId w:val="14"/>
        </w:numPr>
        <w:spacing w:after="0"/>
        <w:ind w:left="426" w:hanging="426"/>
      </w:pPr>
      <w:r>
        <w:t xml:space="preserve">V případě, že objednatel splní veškeré požadavky </w:t>
      </w:r>
      <w:r w:rsidR="00E536B7">
        <w:t xml:space="preserve">vyžadované poskytovatelem při certifikaci nebo </w:t>
      </w:r>
      <w:proofErr w:type="spellStart"/>
      <w:r w:rsidR="00E536B7">
        <w:t>recertifikaci</w:t>
      </w:r>
      <w:proofErr w:type="spellEnd"/>
      <w:r w:rsidR="00E536B7">
        <w:t xml:space="preserve"> jednotlivých norem a certifikační orgán neudělí potřebný certifikát, je poskytovatel povinen zaplatit smluvní pokutu ve výši </w:t>
      </w:r>
      <w:r>
        <w:t>n</w:t>
      </w:r>
      <w:r w:rsidR="00E536B7">
        <w:t>ákladů dosud vynaložených na získání daného certifikátu a to ve lhůtě 14 dnů ode dne oznámení o neudělení certifikátu.</w:t>
      </w:r>
    </w:p>
    <w:p w14:paraId="686AA11F" w14:textId="5D0CC9C8" w:rsidR="007345DF" w:rsidRDefault="007345DF" w:rsidP="005A3EC4">
      <w:pPr>
        <w:pStyle w:val="Odstavecseseznamem"/>
        <w:numPr>
          <w:ilvl w:val="0"/>
          <w:numId w:val="14"/>
        </w:numPr>
        <w:spacing w:after="0"/>
        <w:ind w:left="426" w:hanging="426"/>
      </w:pPr>
      <w:r w:rsidRPr="00C24FB2">
        <w:t xml:space="preserve">V případě, že bude </w:t>
      </w:r>
      <w:r>
        <w:t xml:space="preserve">poskytovatel </w:t>
      </w:r>
      <w:r w:rsidRPr="00C24FB2">
        <w:t>v prodlení s</w:t>
      </w:r>
      <w:r>
        <w:t> </w:t>
      </w:r>
      <w:r w:rsidRPr="00C24FB2">
        <w:t>pl</w:t>
      </w:r>
      <w:r>
        <w:t xml:space="preserve">něním jakéhokoli termínu uvedeného v odsouhlaseném </w:t>
      </w:r>
      <w:r w:rsidRPr="005A3EC4">
        <w:rPr>
          <w:szCs w:val="20"/>
        </w:rPr>
        <w:t>ročním</w:t>
      </w:r>
      <w:r w:rsidRPr="00302356">
        <w:rPr>
          <w:szCs w:val="20"/>
        </w:rPr>
        <w:t xml:space="preserve"> časovém plánu údržby a rozvoje ISŘ dle ustanovení článku II. Předmět smlouvy odstavec třetí odrážka č. 1 této smlouvy je objednatel oprávněn vyúčtovat poskytovateli </w:t>
      </w:r>
      <w:r w:rsidRPr="00302356">
        <w:rPr>
          <w:szCs w:val="20"/>
        </w:rPr>
        <w:lastRenderedPageBreak/>
        <w:t>smluvní pokutu ve výši 0,05</w:t>
      </w:r>
      <w:r w:rsidR="00516324">
        <w:rPr>
          <w:szCs w:val="20"/>
        </w:rPr>
        <w:t xml:space="preserve"> </w:t>
      </w:r>
      <w:r w:rsidRPr="00302356">
        <w:rPr>
          <w:szCs w:val="20"/>
        </w:rPr>
        <w:t>% z</w:t>
      </w:r>
      <w:r w:rsidR="005A3EC4">
        <w:rPr>
          <w:szCs w:val="20"/>
        </w:rPr>
        <w:t xml:space="preserve"> celkové </w:t>
      </w:r>
      <w:r w:rsidRPr="005A3EC4">
        <w:rPr>
          <w:szCs w:val="20"/>
        </w:rPr>
        <w:t xml:space="preserve">částky </w:t>
      </w:r>
      <w:r w:rsidR="005A3EC4" w:rsidRPr="005A3EC4">
        <w:rPr>
          <w:szCs w:val="20"/>
        </w:rPr>
        <w:t xml:space="preserve">předchozího </w:t>
      </w:r>
      <w:r w:rsidRPr="005A3EC4">
        <w:rPr>
          <w:szCs w:val="20"/>
        </w:rPr>
        <w:t>čtvr</w:t>
      </w:r>
      <w:r w:rsidRPr="00302356">
        <w:rPr>
          <w:szCs w:val="20"/>
        </w:rPr>
        <w:t>tletního plnění</w:t>
      </w:r>
      <w:r w:rsidR="005A3EC4">
        <w:rPr>
          <w:szCs w:val="20"/>
        </w:rPr>
        <w:t xml:space="preserve">, </w:t>
      </w:r>
      <w:r w:rsidR="005A3EC4">
        <w:t xml:space="preserve">na základě </w:t>
      </w:r>
      <w:r w:rsidRPr="00C24FB2">
        <w:t xml:space="preserve">penalizační </w:t>
      </w:r>
      <w:r w:rsidR="00D72D77" w:rsidRPr="00C24FB2">
        <w:t>faktur</w:t>
      </w:r>
      <w:r w:rsidR="00D72D77">
        <w:t>y</w:t>
      </w:r>
      <w:r w:rsidRPr="00C24FB2">
        <w:t xml:space="preserve">, jejíž splatnost bude 14 dní ode dne </w:t>
      </w:r>
      <w:r w:rsidR="00D72D77">
        <w:t>vystavení</w:t>
      </w:r>
      <w:r w:rsidR="00D72D77" w:rsidRPr="00C24FB2">
        <w:t xml:space="preserve"> </w:t>
      </w:r>
      <w:r w:rsidRPr="00C24FB2">
        <w:t>objednateli</w:t>
      </w:r>
      <w:r>
        <w:t>.</w:t>
      </w:r>
    </w:p>
    <w:p w14:paraId="5DB41FFD" w14:textId="77777777" w:rsidR="004D3B10" w:rsidRPr="00474885" w:rsidRDefault="004D3B10" w:rsidP="00302356">
      <w:pPr>
        <w:pStyle w:val="Odstavecseseznamem"/>
        <w:spacing w:after="0"/>
        <w:ind w:left="426"/>
      </w:pPr>
    </w:p>
    <w:p w14:paraId="623C252B" w14:textId="77777777" w:rsidR="00C24FB2" w:rsidRDefault="00C24FB2" w:rsidP="00C24FB2">
      <w:pPr>
        <w:pStyle w:val="Odstavecseseznamem"/>
        <w:spacing w:after="0"/>
        <w:ind w:left="426"/>
      </w:pPr>
    </w:p>
    <w:p w14:paraId="386AD0EB" w14:textId="77777777" w:rsidR="005F3C85" w:rsidRDefault="005F3C85" w:rsidP="00C24FB2">
      <w:pPr>
        <w:pStyle w:val="Odstavecseseznamem"/>
        <w:spacing w:after="0"/>
        <w:ind w:left="426"/>
      </w:pPr>
    </w:p>
    <w:p w14:paraId="74DD893B" w14:textId="77777777" w:rsidR="005F3C85" w:rsidRDefault="005F3C85" w:rsidP="005F3C85">
      <w:pPr>
        <w:pStyle w:val="Odstavecseseznamem"/>
        <w:numPr>
          <w:ilvl w:val="0"/>
          <w:numId w:val="7"/>
        </w:numPr>
        <w:spacing w:after="0"/>
        <w:jc w:val="center"/>
        <w:rPr>
          <w:b/>
        </w:rPr>
      </w:pPr>
      <w:r w:rsidRPr="005F3C85">
        <w:rPr>
          <w:b/>
        </w:rPr>
        <w:t>Změna smlouvy, odstoupení od smlouvy</w:t>
      </w:r>
    </w:p>
    <w:p w14:paraId="71E68FAC" w14:textId="77777777" w:rsidR="005F3C85" w:rsidRDefault="005F3C85" w:rsidP="005F3C85">
      <w:pPr>
        <w:pStyle w:val="Odstavecseseznamem"/>
        <w:spacing w:after="0"/>
        <w:ind w:left="1788"/>
        <w:rPr>
          <w:b/>
        </w:rPr>
      </w:pPr>
    </w:p>
    <w:p w14:paraId="0C971097" w14:textId="3A0EB2BD" w:rsidR="005F3C85" w:rsidRPr="005F3C85" w:rsidRDefault="005F3C85" w:rsidP="0002196F">
      <w:pPr>
        <w:pStyle w:val="Odstavecseseznamem"/>
        <w:numPr>
          <w:ilvl w:val="0"/>
          <w:numId w:val="15"/>
        </w:numPr>
        <w:spacing w:after="0"/>
        <w:ind w:left="426" w:hanging="426"/>
      </w:pPr>
      <w:r w:rsidRPr="005F3C85">
        <w:t xml:space="preserve">Tuto smlouvu lze měnit pouze písemným oboustranně potvrzeným ujednáním výslovně </w:t>
      </w:r>
      <w:proofErr w:type="gramStart"/>
      <w:r w:rsidR="0002196F" w:rsidRPr="005F3C85">
        <w:t>nazvaným</w:t>
      </w:r>
      <w:r w:rsidR="0002196F">
        <w:t xml:space="preserve"> ,,Dodatek</w:t>
      </w:r>
      <w:proofErr w:type="gramEnd"/>
      <w:r>
        <w:t xml:space="preserve"> ke smlouvě“. </w:t>
      </w:r>
      <w:r w:rsidRPr="005F3C85">
        <w:t xml:space="preserve"> Jiné zápisy, protokoly se za změnu smlouvy nepovažují.</w:t>
      </w:r>
    </w:p>
    <w:p w14:paraId="1A64235C" w14:textId="5F69A73D" w:rsidR="005F3C85" w:rsidRPr="005F3C85" w:rsidRDefault="005F3C85" w:rsidP="005F3C85">
      <w:pPr>
        <w:pStyle w:val="Odstavecseseznamem"/>
        <w:numPr>
          <w:ilvl w:val="0"/>
          <w:numId w:val="15"/>
        </w:numPr>
        <w:spacing w:after="0"/>
        <w:ind w:left="426" w:hanging="426"/>
      </w:pPr>
      <w:r w:rsidRPr="005F3C85">
        <w:t>K návrhům dodatků k této smlouvě se smluvní strany zavazují vyjádřit písemně, ve lhůtě třiceti dnů</w:t>
      </w:r>
      <w:r>
        <w:t xml:space="preserve"> </w:t>
      </w:r>
      <w:r w:rsidRPr="005F3C85">
        <w:t>od doručení návrhu dodatku druhé</w:t>
      </w:r>
      <w:r w:rsidR="0002196F">
        <w:t xml:space="preserve"> smluvní</w:t>
      </w:r>
      <w:r w:rsidRPr="005F3C85">
        <w:t xml:space="preserve"> straně. Po tuto dobu je tímto návrhem vázána </w:t>
      </w:r>
      <w:r w:rsidR="0002196F">
        <w:t xml:space="preserve">smluvní </w:t>
      </w:r>
      <w:r w:rsidRPr="005F3C85">
        <w:t>strana, která jej</w:t>
      </w:r>
      <w:r>
        <w:t xml:space="preserve"> </w:t>
      </w:r>
      <w:r w:rsidRPr="005F3C85">
        <w:t>podala.</w:t>
      </w:r>
    </w:p>
    <w:p w14:paraId="0EAD443C" w14:textId="79F851BD" w:rsidR="005F3C85" w:rsidRPr="005F3C85" w:rsidRDefault="005F3C85" w:rsidP="005F3C85">
      <w:pPr>
        <w:pStyle w:val="Odstavecseseznamem"/>
        <w:numPr>
          <w:ilvl w:val="0"/>
          <w:numId w:val="15"/>
        </w:numPr>
        <w:spacing w:after="0"/>
        <w:ind w:left="426" w:hanging="426"/>
      </w:pPr>
      <w:r w:rsidRPr="005F3C85">
        <w:t xml:space="preserve">Nastanou-li u některé ze </w:t>
      </w:r>
      <w:r w:rsidR="0002196F">
        <w:t xml:space="preserve">smluvních </w:t>
      </w:r>
      <w:r w:rsidRPr="005F3C85">
        <w:t>stran skutečnosti bránící řádnému plnění smlouvy, je povinna to ihned,</w:t>
      </w:r>
      <w:r>
        <w:t xml:space="preserve"> </w:t>
      </w:r>
      <w:r w:rsidRPr="005F3C85">
        <w:t xml:space="preserve">bez zbytečného odkladu, oznámit druhé </w:t>
      </w:r>
      <w:r w:rsidR="0002196F">
        <w:t xml:space="preserve">smluvní </w:t>
      </w:r>
      <w:r w:rsidRPr="005F3C85">
        <w:t>straně a vyvolat jednání zástupců oprávněných ke změně</w:t>
      </w:r>
      <w:r>
        <w:t xml:space="preserve"> </w:t>
      </w:r>
      <w:r w:rsidRPr="005F3C85">
        <w:t>a podpisu smlouvy.</w:t>
      </w:r>
    </w:p>
    <w:p w14:paraId="281F7409" w14:textId="122FBEB7" w:rsidR="005F3C85" w:rsidRPr="005F3C85" w:rsidRDefault="005F3C85" w:rsidP="005F3C85">
      <w:pPr>
        <w:pStyle w:val="Odstavecseseznamem"/>
        <w:numPr>
          <w:ilvl w:val="0"/>
          <w:numId w:val="15"/>
        </w:numPr>
        <w:spacing w:after="0"/>
        <w:ind w:left="426" w:hanging="426"/>
      </w:pPr>
      <w:r w:rsidRPr="005F3C85">
        <w:t>Platnost smlouvy končí písemnou dohodou smluvních stran nebo písemnou výpovědí kterékoliv ze</w:t>
      </w:r>
      <w:r>
        <w:t xml:space="preserve"> </w:t>
      </w:r>
      <w:r w:rsidRPr="005F3C85">
        <w:t>smluvních stran, a to v</w:t>
      </w:r>
      <w:r w:rsidR="00641F1A">
        <w:t xml:space="preserve"> tříměsíční </w:t>
      </w:r>
      <w:r w:rsidRPr="005F3C85">
        <w:t>výpovědní lhůtě, která začíná běžet prvním dnem následujícího</w:t>
      </w:r>
      <w:r>
        <w:t xml:space="preserve"> </w:t>
      </w:r>
      <w:r w:rsidRPr="005F3C85">
        <w:t>kalendářního měsíce po doručení výpovědi.</w:t>
      </w:r>
    </w:p>
    <w:p w14:paraId="59B346A0" w14:textId="77777777" w:rsidR="005F3C85" w:rsidRDefault="005F3C85" w:rsidP="005F3C85">
      <w:pPr>
        <w:pStyle w:val="Odstavecseseznamem"/>
        <w:numPr>
          <w:ilvl w:val="0"/>
          <w:numId w:val="15"/>
        </w:numPr>
        <w:spacing w:after="0"/>
        <w:ind w:left="426" w:hanging="426"/>
      </w:pPr>
      <w:r w:rsidRPr="005F3C85">
        <w:t>Objednatel je oprávněn odstoupit od smlouvy z důvodů podstatného porušení smlouvy ve smyslu</w:t>
      </w:r>
      <w:r>
        <w:t xml:space="preserve"> </w:t>
      </w:r>
      <w:r w:rsidRPr="005F3C85">
        <w:t>ustanovení § 2593 občanského zákoníku. Účinky odstoupení od smlouvy nastávají okamžikem</w:t>
      </w:r>
      <w:r>
        <w:t xml:space="preserve"> </w:t>
      </w:r>
      <w:r w:rsidRPr="005F3C85">
        <w:t>doručení písemného projevu vůle odstoupit od této smlouvy druhé smluvní straně. Odstoupením</w:t>
      </w:r>
      <w:r>
        <w:t xml:space="preserve"> </w:t>
      </w:r>
      <w:r w:rsidRPr="005F3C85">
        <w:t>od smlouvy nezaniká nárok na zaplacení smluvních pokut a uplatnění náhrady vzniklých škod.</w:t>
      </w:r>
    </w:p>
    <w:p w14:paraId="4DA93B4B" w14:textId="77777777" w:rsidR="005F3C85" w:rsidRPr="005F3C85" w:rsidRDefault="005F3C85" w:rsidP="005F3C85">
      <w:pPr>
        <w:pStyle w:val="Odstavecseseznamem"/>
        <w:spacing w:after="0"/>
        <w:ind w:left="426"/>
      </w:pPr>
    </w:p>
    <w:p w14:paraId="70549DE9" w14:textId="77777777" w:rsidR="00317A78" w:rsidRDefault="00317A78" w:rsidP="00317A78">
      <w:pPr>
        <w:pStyle w:val="Odstavecseseznamem"/>
        <w:numPr>
          <w:ilvl w:val="0"/>
          <w:numId w:val="7"/>
        </w:numPr>
        <w:spacing w:after="0"/>
        <w:ind w:left="0" w:firstLine="0"/>
        <w:jc w:val="center"/>
        <w:rPr>
          <w:b/>
        </w:rPr>
      </w:pPr>
      <w:r w:rsidRPr="00EB00ED">
        <w:rPr>
          <w:b/>
        </w:rPr>
        <w:t>Závěrečná ujednání</w:t>
      </w:r>
    </w:p>
    <w:p w14:paraId="793AE289" w14:textId="77777777" w:rsidR="005F3C85" w:rsidRDefault="005F3C85" w:rsidP="005F3C85">
      <w:pPr>
        <w:pStyle w:val="Odstavecseseznamem"/>
        <w:spacing w:after="0"/>
        <w:ind w:left="0"/>
        <w:rPr>
          <w:b/>
        </w:rPr>
      </w:pPr>
    </w:p>
    <w:p w14:paraId="63119B60" w14:textId="4B9C510F" w:rsidR="00317A78" w:rsidRPr="00EB00ED" w:rsidRDefault="005160FB" w:rsidP="00317A78">
      <w:pPr>
        <w:pStyle w:val="Odstavecseseznamem"/>
        <w:numPr>
          <w:ilvl w:val="0"/>
          <w:numId w:val="15"/>
        </w:numPr>
        <w:spacing w:after="0"/>
        <w:ind w:left="426" w:hanging="426"/>
      </w:pPr>
      <w:r>
        <w:t>Objednatel</w:t>
      </w:r>
      <w:r w:rsidR="00317A78" w:rsidRPr="00EB00ED">
        <w:t xml:space="preserve"> tímto informuje, že jako strana povinná k registraci smlouvy dle zákona č. 340/2015 Sb., o zvláštních podmínkách účinnosti některých smluv, uveřejňování těchto smluv a o registru smluv (zákon o registru smluv), ve znění pozdějších předpisů (dále jen</w:t>
      </w:r>
      <w:r w:rsidR="00197056">
        <w:t xml:space="preserve"> </w:t>
      </w:r>
      <w:r w:rsidR="00317A78" w:rsidRPr="00EB00ED">
        <w:t>„zákon o registru smluv"), zpracovává a shromažďuje ve smyslu ustanovení § 5 odst. 2 písm. b) zákona č. 101/2000 Sb., o ochraně osobních údajů a změně některých zákonů, ve znění pozdějších předpisů, osobní údaje smluvních stran za účelem realizace této smlouvy a zákona o registru smluv a smluvní strany toto zpracování osobních údajů umožní a vyjadřují s tímto zpracováním výslovný souhlas. Poskytnuté osobní údaje budou využity výhradně pro účely realizace této smlouvy a zákona o registru smluv v souladu s platnou legislativou.</w:t>
      </w:r>
    </w:p>
    <w:p w14:paraId="3582AA96" w14:textId="355D8279" w:rsidR="00317A78" w:rsidRPr="00A17B19" w:rsidRDefault="00317A78" w:rsidP="00317A78">
      <w:pPr>
        <w:pStyle w:val="Odstavecseseznamem"/>
        <w:numPr>
          <w:ilvl w:val="0"/>
          <w:numId w:val="15"/>
        </w:numPr>
        <w:spacing w:after="0"/>
        <w:ind w:left="426" w:hanging="426"/>
      </w:pPr>
      <w:r w:rsidRPr="00A17B19">
        <w:t>Tato smlouva nabývá platnosti</w:t>
      </w:r>
      <w:r w:rsidR="005160FB">
        <w:t xml:space="preserve"> dnem podpisu s </w:t>
      </w:r>
      <w:r w:rsidRPr="00A17B19">
        <w:t xml:space="preserve">účinností </w:t>
      </w:r>
      <w:r w:rsidR="005160FB">
        <w:t>od</w:t>
      </w:r>
      <w:r w:rsidRPr="00A17B19">
        <w:t xml:space="preserve"> </w:t>
      </w:r>
      <w:r w:rsidR="000E1748" w:rsidRPr="00A17B19">
        <w:t>1.</w:t>
      </w:r>
      <w:r w:rsidR="00641F1A">
        <w:t xml:space="preserve"> </w:t>
      </w:r>
      <w:r w:rsidR="000E1748" w:rsidRPr="00A17B19">
        <w:t>1. 2022</w:t>
      </w:r>
      <w:r w:rsidRPr="00A17B19">
        <w:t>.</w:t>
      </w:r>
    </w:p>
    <w:p w14:paraId="70D707DE" w14:textId="77777777" w:rsidR="00317A78" w:rsidRPr="00EB00ED" w:rsidRDefault="00317A78" w:rsidP="00317A78">
      <w:pPr>
        <w:pStyle w:val="Odstavecseseznamem"/>
        <w:numPr>
          <w:ilvl w:val="0"/>
          <w:numId w:val="15"/>
        </w:numPr>
        <w:spacing w:after="0"/>
        <w:ind w:left="426" w:hanging="426"/>
      </w:pPr>
      <w:r w:rsidRPr="00EB00ED">
        <w:t>Smluvní strany se dohodly, že práva a povinnosti neupravené touto smlouvou se budou řídit odpovídajícími ustanoveními občanského zákoníku.</w:t>
      </w:r>
    </w:p>
    <w:p w14:paraId="0455C584" w14:textId="77777777" w:rsidR="00317A78" w:rsidRPr="00EB00ED" w:rsidRDefault="00317A78" w:rsidP="00317A78">
      <w:pPr>
        <w:pStyle w:val="Odstavecseseznamem"/>
        <w:numPr>
          <w:ilvl w:val="0"/>
          <w:numId w:val="15"/>
        </w:numPr>
        <w:spacing w:after="0"/>
        <w:ind w:left="426" w:hanging="426"/>
      </w:pPr>
      <w:r w:rsidRPr="00EB00ED">
        <w:t xml:space="preserve">V případě, že k odstranění případného sporu ze smlouvy nedojde smírnou cestou, smluvní strany sjednávají, že všechny spory vznikající z této smlouvy a v souvislosti s ní budou řešeny místně příslušným soudem, v jehož obvodu je sídlo </w:t>
      </w:r>
      <w:r w:rsidR="00C24FB2">
        <w:t>objednatele</w:t>
      </w:r>
      <w:r w:rsidRPr="00EB00ED">
        <w:t>.</w:t>
      </w:r>
    </w:p>
    <w:p w14:paraId="698701C9" w14:textId="77777777" w:rsidR="00317A78" w:rsidRPr="00EB00ED" w:rsidRDefault="00317A78" w:rsidP="00317A78">
      <w:pPr>
        <w:pStyle w:val="Odstavecseseznamem"/>
        <w:numPr>
          <w:ilvl w:val="0"/>
          <w:numId w:val="15"/>
        </w:numPr>
        <w:spacing w:after="0"/>
        <w:ind w:left="426" w:hanging="426"/>
      </w:pPr>
      <w:r w:rsidRPr="00EB00ED">
        <w:t xml:space="preserve">Tato smlouva je sepsána ve </w:t>
      </w:r>
      <w:r>
        <w:t>dvou</w:t>
      </w:r>
      <w:r w:rsidRPr="00EB00ED">
        <w:t xml:space="preserve"> vyhotoveních, z nichž každá strana obdrží </w:t>
      </w:r>
      <w:r>
        <w:t>jedno</w:t>
      </w:r>
      <w:r w:rsidRPr="00EB00ED">
        <w:t>.</w:t>
      </w:r>
    </w:p>
    <w:p w14:paraId="7B5C7BFE" w14:textId="77777777" w:rsidR="00317A78" w:rsidRDefault="00317A78" w:rsidP="00317A78">
      <w:pPr>
        <w:pStyle w:val="Odstavecseseznamem"/>
        <w:numPr>
          <w:ilvl w:val="0"/>
          <w:numId w:val="15"/>
        </w:numPr>
        <w:spacing w:after="0"/>
        <w:ind w:left="426" w:hanging="426"/>
      </w:pPr>
      <w:r w:rsidRPr="00EB00ED">
        <w:t>Obě strany prohlašují, že došlo k dohodě v celém rozsahu této smlouvy, což stvrzují podpisy svých odpovědných zástupců.</w:t>
      </w:r>
    </w:p>
    <w:p w14:paraId="260DC8C5" w14:textId="77777777" w:rsidR="00317A78" w:rsidRDefault="00317A78" w:rsidP="00317A78">
      <w:pPr>
        <w:spacing w:after="0"/>
      </w:pPr>
    </w:p>
    <w:p w14:paraId="4B0AA28A" w14:textId="77777777" w:rsidR="00641F1A" w:rsidRDefault="00641F1A" w:rsidP="00317A78">
      <w:pPr>
        <w:spacing w:after="0"/>
      </w:pPr>
    </w:p>
    <w:p w14:paraId="720A60C5" w14:textId="77777777" w:rsidR="00641F1A" w:rsidRDefault="00641F1A" w:rsidP="00317A78">
      <w:pPr>
        <w:spacing w:after="0"/>
      </w:pPr>
    </w:p>
    <w:p w14:paraId="79DBED07" w14:textId="77777777" w:rsidR="00317A78" w:rsidRDefault="00317A78" w:rsidP="00317A78">
      <w:pPr>
        <w:spacing w:after="0"/>
      </w:pPr>
    </w:p>
    <w:p w14:paraId="3F580FD6" w14:textId="77777777" w:rsidR="00825CD6" w:rsidRDefault="00825CD6" w:rsidP="00317A78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7A78" w:rsidRPr="005A3EC4" w14:paraId="0F121901" w14:textId="77777777" w:rsidTr="005A3EC4">
        <w:tc>
          <w:tcPr>
            <w:tcW w:w="4531" w:type="dxa"/>
            <w:shd w:val="clear" w:color="auto" w:fill="auto"/>
          </w:tcPr>
          <w:p w14:paraId="05211FFB" w14:textId="748462D3" w:rsidR="00317A78" w:rsidRPr="005A3EC4" w:rsidRDefault="009742A3" w:rsidP="00825CD6">
            <w:pPr>
              <w:spacing w:after="0" w:line="240" w:lineRule="auto"/>
            </w:pPr>
            <w:r w:rsidRPr="005A3EC4">
              <w:lastRenderedPageBreak/>
              <w:t xml:space="preserve">V </w:t>
            </w:r>
            <w:r w:rsidR="00825CD6">
              <w:t>(</w:t>
            </w:r>
            <w:r w:rsidR="00825CD6" w:rsidRPr="00A7107B">
              <w:rPr>
                <w:highlight w:val="yellow"/>
              </w:rPr>
              <w:t>doplnit</w:t>
            </w:r>
            <w:r w:rsidR="00825CD6">
              <w:t>) dne (</w:t>
            </w:r>
            <w:r w:rsidR="00825CD6" w:rsidRPr="00A7107B">
              <w:rPr>
                <w:highlight w:val="yellow"/>
              </w:rPr>
              <w:t>doplnit</w:t>
            </w:r>
            <w:r w:rsidR="00825CD6">
              <w:t>)</w:t>
            </w:r>
          </w:p>
        </w:tc>
        <w:tc>
          <w:tcPr>
            <w:tcW w:w="4531" w:type="dxa"/>
            <w:shd w:val="clear" w:color="auto" w:fill="auto"/>
          </w:tcPr>
          <w:p w14:paraId="62D48C2A" w14:textId="77777777" w:rsidR="00317A78" w:rsidRPr="005A3EC4" w:rsidRDefault="00317A78" w:rsidP="005A3EC4">
            <w:pPr>
              <w:spacing w:after="0" w:line="240" w:lineRule="auto"/>
            </w:pPr>
            <w:r w:rsidRPr="005A3EC4">
              <w:t xml:space="preserve">Ve Frýdku-Místku dne </w:t>
            </w:r>
          </w:p>
        </w:tc>
      </w:tr>
      <w:tr w:rsidR="00317A78" w:rsidRPr="005A3EC4" w14:paraId="6215B9C5" w14:textId="77777777" w:rsidTr="005A3EC4">
        <w:trPr>
          <w:trHeight w:val="1310"/>
        </w:trPr>
        <w:tc>
          <w:tcPr>
            <w:tcW w:w="4531" w:type="dxa"/>
            <w:shd w:val="clear" w:color="auto" w:fill="auto"/>
            <w:vAlign w:val="bottom"/>
          </w:tcPr>
          <w:p w14:paraId="4455E480" w14:textId="77777777" w:rsidR="00317A78" w:rsidRPr="005A3EC4" w:rsidRDefault="00317A78" w:rsidP="005A3EC4">
            <w:pPr>
              <w:spacing w:after="0" w:line="240" w:lineRule="auto"/>
              <w:jc w:val="left"/>
            </w:pPr>
            <w:r w:rsidRPr="005A3EC4">
              <w:t>Za p</w:t>
            </w:r>
            <w:r w:rsidR="00474885" w:rsidRPr="005A3EC4">
              <w:t>oskytovatele</w:t>
            </w:r>
            <w:r w:rsidRPr="005A3EC4">
              <w:t>:</w:t>
            </w:r>
          </w:p>
        </w:tc>
        <w:tc>
          <w:tcPr>
            <w:tcW w:w="4531" w:type="dxa"/>
            <w:shd w:val="clear" w:color="auto" w:fill="auto"/>
            <w:vAlign w:val="bottom"/>
          </w:tcPr>
          <w:p w14:paraId="2E2BD1A0" w14:textId="77777777" w:rsidR="00317A78" w:rsidRPr="005A3EC4" w:rsidRDefault="00317A78" w:rsidP="005A3EC4">
            <w:pPr>
              <w:spacing w:after="0" w:line="240" w:lineRule="auto"/>
              <w:jc w:val="left"/>
            </w:pPr>
            <w:r w:rsidRPr="005A3EC4">
              <w:t xml:space="preserve">Za </w:t>
            </w:r>
            <w:r w:rsidR="00474885" w:rsidRPr="005A3EC4">
              <w:t>objednatele</w:t>
            </w:r>
            <w:r w:rsidRPr="005A3EC4">
              <w:t>:</w:t>
            </w:r>
          </w:p>
        </w:tc>
      </w:tr>
      <w:tr w:rsidR="00317A78" w:rsidRPr="005A3EC4" w14:paraId="2251E509" w14:textId="77777777" w:rsidTr="005A3EC4">
        <w:tc>
          <w:tcPr>
            <w:tcW w:w="4531" w:type="dxa"/>
            <w:shd w:val="clear" w:color="auto" w:fill="auto"/>
          </w:tcPr>
          <w:p w14:paraId="7684A1D1" w14:textId="26DDC307" w:rsidR="00317A78" w:rsidRPr="005A3EC4" w:rsidRDefault="00825CD6" w:rsidP="005A3EC4">
            <w:pPr>
              <w:spacing w:after="0" w:line="240" w:lineRule="auto"/>
            </w:pPr>
            <w:r>
              <w:t>(</w:t>
            </w:r>
            <w:r w:rsidRPr="00A7107B">
              <w:rPr>
                <w:highlight w:val="yellow"/>
              </w:rPr>
              <w:t>doplnit</w:t>
            </w:r>
            <w:r>
              <w:t>)</w:t>
            </w:r>
          </w:p>
        </w:tc>
        <w:tc>
          <w:tcPr>
            <w:tcW w:w="4531" w:type="dxa"/>
            <w:shd w:val="clear" w:color="auto" w:fill="auto"/>
          </w:tcPr>
          <w:p w14:paraId="5940B44D" w14:textId="77777777" w:rsidR="00317A78" w:rsidRPr="005A3EC4" w:rsidRDefault="008C17B5" w:rsidP="005A3EC4">
            <w:pPr>
              <w:spacing w:after="0" w:line="240" w:lineRule="auto"/>
            </w:pPr>
            <w:r w:rsidRPr="005A3EC4">
              <w:t>Mgr. Jiří Čuda, MBA</w:t>
            </w:r>
            <w:r w:rsidR="00317A78" w:rsidRPr="005A3EC4">
              <w:t xml:space="preserve">, </w:t>
            </w:r>
            <w:r w:rsidRPr="005A3EC4">
              <w:t>předseda</w:t>
            </w:r>
            <w:r w:rsidR="00317A78" w:rsidRPr="005A3EC4">
              <w:t xml:space="preserve"> představenstva</w:t>
            </w:r>
          </w:p>
        </w:tc>
      </w:tr>
      <w:tr w:rsidR="00317A78" w:rsidRPr="005A3EC4" w14:paraId="5C92D1BD" w14:textId="77777777" w:rsidTr="005A3EC4">
        <w:trPr>
          <w:trHeight w:val="2283"/>
        </w:trPr>
        <w:tc>
          <w:tcPr>
            <w:tcW w:w="4531" w:type="dxa"/>
            <w:shd w:val="clear" w:color="auto" w:fill="auto"/>
            <w:vAlign w:val="bottom"/>
          </w:tcPr>
          <w:p w14:paraId="3ACC55CC" w14:textId="77777777" w:rsidR="00317A78" w:rsidRPr="005A3EC4" w:rsidRDefault="00317A78" w:rsidP="005A3EC4">
            <w:pPr>
              <w:spacing w:after="0" w:line="240" w:lineRule="auto"/>
              <w:jc w:val="center"/>
            </w:pPr>
            <w:r w:rsidRPr="005A3EC4">
              <w:t>……………………………………………………………….</w:t>
            </w:r>
          </w:p>
        </w:tc>
        <w:tc>
          <w:tcPr>
            <w:tcW w:w="4531" w:type="dxa"/>
            <w:shd w:val="clear" w:color="auto" w:fill="auto"/>
            <w:vAlign w:val="bottom"/>
          </w:tcPr>
          <w:p w14:paraId="4C04508B" w14:textId="77777777" w:rsidR="00317A78" w:rsidRPr="005A3EC4" w:rsidRDefault="00317A78" w:rsidP="005A3EC4">
            <w:pPr>
              <w:spacing w:after="0" w:line="240" w:lineRule="auto"/>
              <w:jc w:val="center"/>
            </w:pPr>
            <w:r w:rsidRPr="005A3EC4">
              <w:t>……………………………………………………………….</w:t>
            </w:r>
          </w:p>
        </w:tc>
      </w:tr>
    </w:tbl>
    <w:p w14:paraId="0785396C" w14:textId="77777777" w:rsidR="00317A78" w:rsidRPr="00EB00ED" w:rsidRDefault="00317A78" w:rsidP="00317A78">
      <w:pPr>
        <w:spacing w:after="0"/>
      </w:pPr>
    </w:p>
    <w:p w14:paraId="1CF89E15" w14:textId="77777777" w:rsidR="00156D9C" w:rsidRDefault="00156D9C"/>
    <w:sectPr w:rsidR="00156D9C" w:rsidSect="00803D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40E9" w16cex:dateUtc="2021-06-02T15:39:00Z"/>
  <w16cex:commentExtensible w16cex:durableId="24623343" w16cex:dateUtc="2021-06-02T14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5E3CF2" w16cid:durableId="246240E9"/>
  <w16cid:commentId w16cid:paraId="5714B919" w16cid:durableId="246233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1ED7A" w14:textId="77777777" w:rsidR="00DF6D73" w:rsidRDefault="00DF6D73" w:rsidP="00D66885">
      <w:pPr>
        <w:spacing w:after="0" w:line="240" w:lineRule="auto"/>
      </w:pPr>
      <w:r>
        <w:separator/>
      </w:r>
    </w:p>
  </w:endnote>
  <w:endnote w:type="continuationSeparator" w:id="0">
    <w:p w14:paraId="1EE3E2FB" w14:textId="77777777" w:rsidR="00DF6D73" w:rsidRDefault="00DF6D73" w:rsidP="00D6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79FDB" w14:textId="25FC4ECE" w:rsidR="00D66885" w:rsidRDefault="00803DCE">
    <w:pPr>
      <w:pStyle w:val="Zpat"/>
      <w:jc w:val="center"/>
    </w:pPr>
    <w:r>
      <w:fldChar w:fldCharType="begin"/>
    </w:r>
    <w:r w:rsidR="00D66885">
      <w:instrText>PAGE   \* MERGEFORMAT</w:instrText>
    </w:r>
    <w:r>
      <w:fldChar w:fldCharType="separate"/>
    </w:r>
    <w:r w:rsidR="00F36610">
      <w:rPr>
        <w:noProof/>
      </w:rPr>
      <w:t>6</w:t>
    </w:r>
    <w:r>
      <w:fldChar w:fldCharType="end"/>
    </w:r>
    <w:r w:rsidR="00D66885">
      <w:t xml:space="preserve"> / </w:t>
    </w:r>
    <w:r w:rsidR="001378DF">
      <w:rPr>
        <w:noProof/>
      </w:rPr>
      <w:fldChar w:fldCharType="begin"/>
    </w:r>
    <w:r w:rsidR="001378DF">
      <w:rPr>
        <w:noProof/>
      </w:rPr>
      <w:instrText xml:space="preserve"> SECTIONPAGES   \* MERGEFORMAT </w:instrText>
    </w:r>
    <w:r w:rsidR="001378DF">
      <w:rPr>
        <w:noProof/>
      </w:rPr>
      <w:fldChar w:fldCharType="separate"/>
    </w:r>
    <w:r w:rsidR="00F36610">
      <w:rPr>
        <w:noProof/>
      </w:rPr>
      <w:t>6</w:t>
    </w:r>
    <w:r w:rsidR="001378DF">
      <w:rPr>
        <w:noProof/>
      </w:rPr>
      <w:fldChar w:fldCharType="end"/>
    </w:r>
  </w:p>
  <w:p w14:paraId="63CC9429" w14:textId="77777777" w:rsidR="00D66885" w:rsidRDefault="00D668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52F1A" w14:textId="77777777" w:rsidR="00DF6D73" w:rsidRDefault="00DF6D73" w:rsidP="00D66885">
      <w:pPr>
        <w:spacing w:after="0" w:line="240" w:lineRule="auto"/>
      </w:pPr>
      <w:r>
        <w:separator/>
      </w:r>
    </w:p>
  </w:footnote>
  <w:footnote w:type="continuationSeparator" w:id="0">
    <w:p w14:paraId="53F2549D" w14:textId="77777777" w:rsidR="00DF6D73" w:rsidRDefault="00DF6D73" w:rsidP="00D66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4F1D"/>
    <w:multiLevelType w:val="hybridMultilevel"/>
    <w:tmpl w:val="447824A2"/>
    <w:lvl w:ilvl="0" w:tplc="6622A7F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6B28"/>
    <w:multiLevelType w:val="hybridMultilevel"/>
    <w:tmpl w:val="403CB9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D3233"/>
    <w:multiLevelType w:val="hybridMultilevel"/>
    <w:tmpl w:val="F39A14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24646"/>
    <w:multiLevelType w:val="hybridMultilevel"/>
    <w:tmpl w:val="A830BB00"/>
    <w:lvl w:ilvl="0" w:tplc="34B4359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DB352D"/>
    <w:multiLevelType w:val="multilevel"/>
    <w:tmpl w:val="880C9D3C"/>
    <w:lvl w:ilvl="0">
      <w:start w:val="1"/>
      <w:numFmt w:val="decimal"/>
      <w:pStyle w:val="Nadpi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3B3BD2"/>
    <w:multiLevelType w:val="hybridMultilevel"/>
    <w:tmpl w:val="447824A2"/>
    <w:lvl w:ilvl="0" w:tplc="6622A7F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28F3"/>
    <w:multiLevelType w:val="hybridMultilevel"/>
    <w:tmpl w:val="6C382674"/>
    <w:lvl w:ilvl="0" w:tplc="B606908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C495D"/>
    <w:multiLevelType w:val="hybridMultilevel"/>
    <w:tmpl w:val="63B0B7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674B8D"/>
    <w:multiLevelType w:val="hybridMultilevel"/>
    <w:tmpl w:val="447824A2"/>
    <w:lvl w:ilvl="0" w:tplc="6622A7F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A70B1"/>
    <w:multiLevelType w:val="hybridMultilevel"/>
    <w:tmpl w:val="447824A2"/>
    <w:lvl w:ilvl="0" w:tplc="6622A7F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065A1"/>
    <w:multiLevelType w:val="hybridMultilevel"/>
    <w:tmpl w:val="447824A2"/>
    <w:lvl w:ilvl="0" w:tplc="6622A7F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73A2E"/>
    <w:multiLevelType w:val="hybridMultilevel"/>
    <w:tmpl w:val="0C9ABF4A"/>
    <w:lvl w:ilvl="0" w:tplc="EC587772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FA0590"/>
    <w:multiLevelType w:val="hybridMultilevel"/>
    <w:tmpl w:val="11B6E7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01242"/>
    <w:multiLevelType w:val="multilevel"/>
    <w:tmpl w:val="1EC6F0C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3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  <w:num w:numId="13">
    <w:abstractNumId w:val="8"/>
  </w:num>
  <w:num w:numId="14">
    <w:abstractNumId w:val="9"/>
  </w:num>
  <w:num w:numId="15">
    <w:abstractNumId w:val="0"/>
  </w:num>
  <w:num w:numId="16">
    <w:abstractNumId w:val="1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78"/>
    <w:rsid w:val="0000015C"/>
    <w:rsid w:val="00000F57"/>
    <w:rsid w:val="0002196F"/>
    <w:rsid w:val="000877C8"/>
    <w:rsid w:val="000A48D5"/>
    <w:rsid w:val="000E1748"/>
    <w:rsid w:val="001378DF"/>
    <w:rsid w:val="00156D9C"/>
    <w:rsid w:val="00197056"/>
    <w:rsid w:val="00197691"/>
    <w:rsid w:val="001C268B"/>
    <w:rsid w:val="001D61A2"/>
    <w:rsid w:val="001E5D5A"/>
    <w:rsid w:val="002555AA"/>
    <w:rsid w:val="002947FF"/>
    <w:rsid w:val="002A14B6"/>
    <w:rsid w:val="002D725A"/>
    <w:rsid w:val="00302356"/>
    <w:rsid w:val="003159C3"/>
    <w:rsid w:val="0031735F"/>
    <w:rsid w:val="00317A78"/>
    <w:rsid w:val="003307C8"/>
    <w:rsid w:val="003B05FD"/>
    <w:rsid w:val="00474885"/>
    <w:rsid w:val="00477E32"/>
    <w:rsid w:val="004D3B10"/>
    <w:rsid w:val="005160FB"/>
    <w:rsid w:val="00516324"/>
    <w:rsid w:val="00532CC8"/>
    <w:rsid w:val="005A3EC4"/>
    <w:rsid w:val="005F3C85"/>
    <w:rsid w:val="005F662F"/>
    <w:rsid w:val="006311C7"/>
    <w:rsid w:val="00641F1A"/>
    <w:rsid w:val="00680337"/>
    <w:rsid w:val="00683C5F"/>
    <w:rsid w:val="006B63E0"/>
    <w:rsid w:val="007345DF"/>
    <w:rsid w:val="00803DCE"/>
    <w:rsid w:val="00825CD6"/>
    <w:rsid w:val="00834AE7"/>
    <w:rsid w:val="008354C1"/>
    <w:rsid w:val="0086602D"/>
    <w:rsid w:val="00895DCB"/>
    <w:rsid w:val="008C17B5"/>
    <w:rsid w:val="008F29AC"/>
    <w:rsid w:val="00900851"/>
    <w:rsid w:val="00944E7F"/>
    <w:rsid w:val="00971888"/>
    <w:rsid w:val="009742A3"/>
    <w:rsid w:val="009975DE"/>
    <w:rsid w:val="00A17B19"/>
    <w:rsid w:val="00A7319F"/>
    <w:rsid w:val="00B82F93"/>
    <w:rsid w:val="00BF7EB4"/>
    <w:rsid w:val="00C02261"/>
    <w:rsid w:val="00C15391"/>
    <w:rsid w:val="00C24FB2"/>
    <w:rsid w:val="00C43207"/>
    <w:rsid w:val="00C7322D"/>
    <w:rsid w:val="00CF67F6"/>
    <w:rsid w:val="00D24C51"/>
    <w:rsid w:val="00D25B20"/>
    <w:rsid w:val="00D277E4"/>
    <w:rsid w:val="00D66885"/>
    <w:rsid w:val="00D67785"/>
    <w:rsid w:val="00D72D77"/>
    <w:rsid w:val="00DF6D73"/>
    <w:rsid w:val="00E17BEE"/>
    <w:rsid w:val="00E536B7"/>
    <w:rsid w:val="00E61B7F"/>
    <w:rsid w:val="00E860B4"/>
    <w:rsid w:val="00F36610"/>
    <w:rsid w:val="00F54DF1"/>
    <w:rsid w:val="00F73BCC"/>
    <w:rsid w:val="00FB68A3"/>
    <w:rsid w:val="00FC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CC25"/>
  <w15:docId w15:val="{4317800D-8638-4456-9A96-F4EE3704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A78"/>
    <w:pPr>
      <w:spacing w:after="160" w:line="259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FB68A3"/>
    <w:pPr>
      <w:keepNext/>
      <w:keepLines/>
      <w:numPr>
        <w:numId w:val="1"/>
      </w:numPr>
      <w:spacing w:before="120" w:after="120" w:line="276" w:lineRule="auto"/>
      <w:jc w:val="left"/>
      <w:outlineLvl w:val="0"/>
    </w:pPr>
    <w:rPr>
      <w:rFonts w:cs="Calibri"/>
      <w:b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82F93"/>
    <w:pPr>
      <w:keepNext/>
      <w:keepLines/>
      <w:numPr>
        <w:ilvl w:val="1"/>
        <w:numId w:val="5"/>
      </w:numPr>
      <w:spacing w:before="120" w:after="120"/>
      <w:jc w:val="left"/>
      <w:outlineLvl w:val="1"/>
    </w:pPr>
    <w:rPr>
      <w:rFonts w:ascii="Calibri Light" w:eastAsia="Times New Roman" w:hAnsi="Calibri Light"/>
      <w:b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2F93"/>
    <w:pPr>
      <w:keepNext/>
      <w:keepLines/>
      <w:numPr>
        <w:ilvl w:val="2"/>
        <w:numId w:val="5"/>
      </w:numPr>
      <w:spacing w:before="160" w:after="120"/>
      <w:outlineLvl w:val="2"/>
    </w:pPr>
    <w:rPr>
      <w:rFonts w:ascii="Calibri Light" w:eastAsia="Times New Roman" w:hAnsi="Calibri Light"/>
      <w:b/>
      <w:color w:val="2E74B5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B82F93"/>
    <w:pPr>
      <w:keepNext/>
      <w:keepLines/>
      <w:numPr>
        <w:ilvl w:val="3"/>
        <w:numId w:val="5"/>
      </w:numPr>
      <w:spacing w:before="40" w:after="0"/>
      <w:outlineLvl w:val="3"/>
    </w:pPr>
    <w:rPr>
      <w:rFonts w:eastAsia="Times New Roman" w:cs="Calibri"/>
      <w:b/>
      <w:iCs/>
      <w:color w:val="2E74B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82F93"/>
    <w:pPr>
      <w:keepNext/>
      <w:keepLines/>
      <w:numPr>
        <w:ilvl w:val="4"/>
        <w:numId w:val="5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B68A3"/>
    <w:rPr>
      <w:rFonts w:ascii="Calibri" w:hAnsi="Calibri" w:cs="Calibri"/>
      <w:b/>
    </w:rPr>
  </w:style>
  <w:style w:type="character" w:customStyle="1" w:styleId="Nadpis2Char">
    <w:name w:val="Nadpis 2 Char"/>
    <w:link w:val="Nadpis2"/>
    <w:uiPriority w:val="9"/>
    <w:rsid w:val="00B82F93"/>
    <w:rPr>
      <w:rFonts w:ascii="Calibri Light" w:eastAsia="Times New Roman" w:hAnsi="Calibri Light" w:cs="Times New Roman"/>
      <w:b/>
      <w:color w:val="2E74B5"/>
      <w:sz w:val="26"/>
      <w:szCs w:val="26"/>
    </w:rPr>
  </w:style>
  <w:style w:type="character" w:customStyle="1" w:styleId="Nadpis3Char">
    <w:name w:val="Nadpis 3 Char"/>
    <w:link w:val="Nadpis3"/>
    <w:uiPriority w:val="9"/>
    <w:rsid w:val="00B82F93"/>
    <w:rPr>
      <w:rFonts w:ascii="Calibri Light" w:eastAsia="Times New Roman" w:hAnsi="Calibri Light" w:cs="Times New Roman"/>
      <w:b/>
      <w:color w:val="2E74B5"/>
      <w:sz w:val="24"/>
      <w:szCs w:val="24"/>
    </w:rPr>
  </w:style>
  <w:style w:type="character" w:customStyle="1" w:styleId="Nadpis4Char">
    <w:name w:val="Nadpis 4 Char"/>
    <w:link w:val="Nadpis4"/>
    <w:uiPriority w:val="9"/>
    <w:rsid w:val="00B82F93"/>
    <w:rPr>
      <w:rFonts w:eastAsia="Times New Roman" w:cs="Calibri"/>
      <w:b/>
      <w:iCs/>
      <w:color w:val="2E74B5"/>
      <w:sz w:val="24"/>
      <w:szCs w:val="24"/>
    </w:rPr>
  </w:style>
  <w:style w:type="character" w:customStyle="1" w:styleId="Nadpis5Char">
    <w:name w:val="Nadpis 5 Char"/>
    <w:link w:val="Nadpis5"/>
    <w:uiPriority w:val="9"/>
    <w:rsid w:val="00B82F93"/>
    <w:rPr>
      <w:rFonts w:ascii="Calibri Light" w:eastAsia="Times New Roman" w:hAnsi="Calibri Light" w:cs="Times New Roman"/>
      <w:color w:val="2E74B5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B82F93"/>
    <w:pPr>
      <w:spacing w:after="0" w:line="240" w:lineRule="auto"/>
      <w:contextualSpacing/>
      <w:jc w:val="center"/>
    </w:pPr>
    <w:rPr>
      <w:rFonts w:eastAsia="Times New Roman"/>
      <w:b/>
      <w:spacing w:val="-10"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B82F93"/>
    <w:rPr>
      <w:rFonts w:eastAsia="Times New Roman" w:cs="Times New Roman"/>
      <w:b/>
      <w:spacing w:val="-10"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autoRedefine/>
    <w:uiPriority w:val="11"/>
    <w:qFormat/>
    <w:rsid w:val="00B82F93"/>
    <w:pPr>
      <w:numPr>
        <w:ilvl w:val="1"/>
      </w:numPr>
      <w:spacing w:after="40" w:line="240" w:lineRule="auto"/>
      <w:jc w:val="center"/>
    </w:pPr>
    <w:rPr>
      <w:rFonts w:eastAsia="Times New Roman"/>
      <w:b/>
      <w:color w:val="5A5A5A"/>
      <w:spacing w:val="15"/>
      <w:sz w:val="24"/>
    </w:rPr>
  </w:style>
  <w:style w:type="character" w:customStyle="1" w:styleId="PodtitulChar">
    <w:name w:val="Podtitul Char"/>
    <w:link w:val="Podtitul"/>
    <w:uiPriority w:val="11"/>
    <w:rsid w:val="00B82F93"/>
    <w:rPr>
      <w:rFonts w:eastAsia="Times New Roman"/>
      <w:b/>
      <w:color w:val="5A5A5A"/>
      <w:spacing w:val="15"/>
      <w:sz w:val="24"/>
    </w:rPr>
  </w:style>
  <w:style w:type="paragraph" w:styleId="Odstavecseseznamem">
    <w:name w:val="List Paragraph"/>
    <w:basedOn w:val="Normln"/>
    <w:uiPriority w:val="34"/>
    <w:qFormat/>
    <w:rsid w:val="00317A78"/>
    <w:pPr>
      <w:ind w:left="720"/>
      <w:contextualSpacing/>
    </w:pPr>
  </w:style>
  <w:style w:type="table" w:styleId="Mkatabulky">
    <w:name w:val="Table Grid"/>
    <w:basedOn w:val="Normlntabulka"/>
    <w:uiPriority w:val="39"/>
    <w:rsid w:val="0031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6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6885"/>
  </w:style>
  <w:style w:type="paragraph" w:styleId="Zpat">
    <w:name w:val="footer"/>
    <w:basedOn w:val="Normln"/>
    <w:link w:val="ZpatChar"/>
    <w:uiPriority w:val="99"/>
    <w:unhideWhenUsed/>
    <w:rsid w:val="00D6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6885"/>
  </w:style>
  <w:style w:type="paragraph" w:styleId="Textbubliny">
    <w:name w:val="Balloon Text"/>
    <w:basedOn w:val="Normln"/>
    <w:link w:val="TextbublinyChar"/>
    <w:uiPriority w:val="99"/>
    <w:semiHidden/>
    <w:unhideWhenUsed/>
    <w:rsid w:val="00C73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7322D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895D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5D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95D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DC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5D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1937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Krtek</dc:creator>
  <cp:keywords/>
  <cp:lastModifiedBy>Ciahotný Radim</cp:lastModifiedBy>
  <cp:revision>4</cp:revision>
  <cp:lastPrinted>2018-05-14T03:40:00Z</cp:lastPrinted>
  <dcterms:created xsi:type="dcterms:W3CDTF">2021-06-03T13:49:00Z</dcterms:created>
  <dcterms:modified xsi:type="dcterms:W3CDTF">2021-06-07T04:42:00Z</dcterms:modified>
</cp:coreProperties>
</file>