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6DD33E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sdt>
      <w:sdtPr>
        <w:id w:val="-604037639"/>
        <w:docPartObj>
          <w:docPartGallery w:val="Table of Contents"/>
          <w:docPartUnique/>
        </w:docPartObj>
      </w:sdtPr>
      <w:sdtContent>
        <w:p w14:paraId="624DF399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r>
            <w:fldChar w:fldCharType="begin"/>
          </w:r>
          <w:r>
            <w:instrText xml:space="preserve"> TOC \h \u \z \t "Heading 1,1,Heading 2,2,Heading 3,3,Heading 4,4,Heading 5,5,Heading 6,6,"</w:instrText>
          </w:r>
          <w:r>
            <w:fldChar w:fldCharType="separate"/>
          </w:r>
          <w:hyperlink w:anchor="_heading=h.gjdgxs">
            <w:r>
              <w:rPr>
                <w:rFonts w:ascii="Calibri" w:eastAsia="Calibri" w:hAnsi="Calibri" w:cs="Calibri"/>
                <w:smallCaps/>
                <w:color w:val="000000"/>
              </w:rPr>
              <w:t>1 | ÚVOD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2</w:t>
            </w:r>
          </w:hyperlink>
        </w:p>
        <w:p w14:paraId="63871B02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30j0zll">
            <w:r>
              <w:rPr>
                <w:rFonts w:ascii="Calibri" w:eastAsia="Calibri" w:hAnsi="Calibri" w:cs="Calibri"/>
                <w:smallCaps/>
                <w:color w:val="000000"/>
              </w:rPr>
              <w:t>1.1 | ZADÁNÍ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2</w:t>
            </w:r>
          </w:hyperlink>
        </w:p>
        <w:p w14:paraId="5124012E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1fob9te">
            <w:r>
              <w:rPr>
                <w:rFonts w:ascii="Calibri" w:eastAsia="Calibri" w:hAnsi="Calibri" w:cs="Calibri"/>
                <w:smallCaps/>
                <w:color w:val="000000"/>
              </w:rPr>
              <w:t>2 | ÚZEMÍ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3</w:t>
            </w:r>
          </w:hyperlink>
        </w:p>
        <w:p w14:paraId="6D4E194D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3znysh7">
            <w:r>
              <w:rPr>
                <w:rFonts w:ascii="Calibri" w:eastAsia="Calibri" w:hAnsi="Calibri" w:cs="Calibri"/>
                <w:smallCaps/>
                <w:color w:val="000000"/>
              </w:rPr>
              <w:t>2.1 | ÚZEMNÍ PLÁN OBCE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3</w:t>
            </w:r>
          </w:hyperlink>
        </w:p>
        <w:p w14:paraId="682D85C6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2et92p0">
            <w:r>
              <w:rPr>
                <w:rFonts w:ascii="Calibri" w:eastAsia="Calibri" w:hAnsi="Calibri" w:cs="Calibri"/>
                <w:smallCaps/>
                <w:color w:val="000000"/>
              </w:rPr>
              <w:t>2.2 | HISTORICKÝ A STAVEBNĚ TECHNICKÝ POPIS BUDOVY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3</w:t>
            </w:r>
          </w:hyperlink>
        </w:p>
        <w:p w14:paraId="3571DEDD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z337ya">
            <w:r>
              <w:rPr>
                <w:rFonts w:ascii="Calibri" w:eastAsia="Calibri" w:hAnsi="Calibri" w:cs="Calibri"/>
                <w:smallCaps/>
                <w:color w:val="000000"/>
              </w:rPr>
              <w:t>2.3 | PARKOVÁ ZELEŇ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5</w:t>
            </w:r>
          </w:hyperlink>
        </w:p>
        <w:p w14:paraId="6C7F8745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tyjcwt">
            <w:r>
              <w:rPr>
                <w:rFonts w:ascii="Calibri" w:eastAsia="Calibri" w:hAnsi="Calibri" w:cs="Calibri"/>
                <w:smallCaps/>
                <w:color w:val="000000"/>
              </w:rPr>
              <w:t>2.4 | TECHNICKÁ INFRASTRUKTURA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5</w:t>
            </w:r>
          </w:hyperlink>
        </w:p>
        <w:p w14:paraId="73754ABD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3dy6vkm">
            <w:r>
              <w:rPr>
                <w:rFonts w:ascii="Calibri" w:eastAsia="Calibri" w:hAnsi="Calibri" w:cs="Calibri"/>
                <w:smallCaps/>
                <w:color w:val="000000"/>
              </w:rPr>
              <w:t>2.5 | DOPRAVNÍ NAPOJENÍ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5</w:t>
            </w:r>
          </w:hyperlink>
        </w:p>
        <w:p w14:paraId="75C12B6B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1t3h5sf">
            <w:r>
              <w:rPr>
                <w:rFonts w:ascii="Calibri" w:eastAsia="Calibri" w:hAnsi="Calibri" w:cs="Calibri"/>
                <w:smallCaps/>
                <w:color w:val="000000"/>
              </w:rPr>
              <w:t>2.6 | DOSTUPNOST CYKLOSTEZEK: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5</w:t>
            </w:r>
          </w:hyperlink>
        </w:p>
        <w:p w14:paraId="0EABA455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4d34og8">
            <w:r>
              <w:rPr>
                <w:rFonts w:ascii="Calibri" w:eastAsia="Calibri" w:hAnsi="Calibri" w:cs="Calibri"/>
                <w:smallCaps/>
                <w:color w:val="000000"/>
              </w:rPr>
              <w:t>2.7 | LIMITY ÚZEMÍ A OCHRANNÁ PÁSMA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5</w:t>
            </w:r>
          </w:hyperlink>
        </w:p>
        <w:p w14:paraId="69CBF91D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2s8eyo1">
            <w:r>
              <w:rPr>
                <w:rFonts w:ascii="Calibri" w:eastAsia="Calibri" w:hAnsi="Calibri" w:cs="Calibri"/>
                <w:smallCaps/>
                <w:color w:val="000000"/>
              </w:rPr>
              <w:t>2.8 | GEOLOGICKÝ PROFIL ÚZEMÍ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6</w:t>
            </w:r>
          </w:hyperlink>
        </w:p>
        <w:p w14:paraId="5120BC21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3j2qqm3">
            <w:r>
              <w:rPr>
                <w:rFonts w:ascii="Calibri" w:eastAsia="Calibri" w:hAnsi="Calibri" w:cs="Calibri"/>
                <w:smallCaps/>
                <w:color w:val="000000"/>
              </w:rPr>
              <w:t>2.9 | ZÁPLAVOVÉ ÚZEMÍ A HLADINA Q100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6</w:t>
            </w:r>
          </w:hyperlink>
        </w:p>
        <w:p w14:paraId="6FDE1BB9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17dp8vu">
            <w:r>
              <w:rPr>
                <w:rFonts w:ascii="Calibri" w:eastAsia="Calibri" w:hAnsi="Calibri" w:cs="Calibri"/>
                <w:smallCaps/>
                <w:color w:val="000000"/>
              </w:rPr>
              <w:t>3 | STAVEBNÍ PROGRAM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7</w:t>
            </w:r>
          </w:hyperlink>
        </w:p>
        <w:p w14:paraId="36DA6AF7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3rdcrjn">
            <w:r>
              <w:rPr>
                <w:rFonts w:ascii="Calibri" w:eastAsia="Calibri" w:hAnsi="Calibri" w:cs="Calibri"/>
                <w:smallCaps/>
                <w:color w:val="000000"/>
              </w:rPr>
              <w:t>3.1 | PROPOJENÍ VEŘEJNÝCH PROSTRANSTVÍ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7</w:t>
            </w:r>
          </w:hyperlink>
        </w:p>
        <w:p w14:paraId="744648CA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lnxbz9">
            <w:r>
              <w:rPr>
                <w:rFonts w:ascii="Calibri" w:eastAsia="Calibri" w:hAnsi="Calibri" w:cs="Calibri"/>
                <w:smallCaps/>
                <w:color w:val="000000"/>
              </w:rPr>
              <w:t>3.2 | BUDOVA BÝVALÉ ŠKOLY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7</w:t>
            </w:r>
          </w:hyperlink>
        </w:p>
        <w:p w14:paraId="47635D07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1y810tw">
            <w:r>
              <w:rPr>
                <w:rFonts w:ascii="Calibri" w:eastAsia="Calibri" w:hAnsi="Calibri" w:cs="Calibri"/>
                <w:smallCaps/>
                <w:color w:val="000000"/>
              </w:rPr>
              <w:t>3.3 | STAVEBNÍ PROGRAM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7</w:t>
            </w:r>
          </w:hyperlink>
        </w:p>
        <w:p w14:paraId="49F4A1E5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1ksv4uv">
            <w:r>
              <w:rPr>
                <w:rFonts w:ascii="Calibri" w:eastAsia="Calibri" w:hAnsi="Calibri" w:cs="Calibri"/>
                <w:smallCaps/>
                <w:color w:val="000000"/>
              </w:rPr>
              <w:t>3.4 | PARKOVÁ ZELEŇ A ZAŘÍZENÍ PARKU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8</w:t>
            </w:r>
          </w:hyperlink>
        </w:p>
        <w:p w14:paraId="48F3AB8D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26in1rg">
            <w:r>
              <w:rPr>
                <w:rFonts w:ascii="Calibri" w:eastAsia="Calibri" w:hAnsi="Calibri" w:cs="Calibri"/>
                <w:smallCaps/>
                <w:color w:val="000000"/>
              </w:rPr>
              <w:t>3.5 | ZÁZEMÍ PRO KULTURNÍ AKCE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8</w:t>
            </w:r>
          </w:hyperlink>
        </w:p>
        <w:p w14:paraId="47092680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35nkun2">
            <w:r>
              <w:rPr>
                <w:rFonts w:ascii="Calibri" w:eastAsia="Calibri" w:hAnsi="Calibri" w:cs="Calibri"/>
                <w:smallCaps/>
                <w:color w:val="000000"/>
              </w:rPr>
              <w:t>3.6 | AUTOBUSOVÁ ZASTÁVKA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8</w:t>
            </w:r>
          </w:hyperlink>
        </w:p>
        <w:p w14:paraId="4516D404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44sinio">
            <w:r>
              <w:rPr>
                <w:rFonts w:ascii="Calibri" w:eastAsia="Calibri" w:hAnsi="Calibri" w:cs="Calibri"/>
                <w:smallCaps/>
                <w:color w:val="000000"/>
              </w:rPr>
              <w:t>4 | ROZSAH PROJEKČNÍCH PRACÍ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9</w:t>
            </w:r>
          </w:hyperlink>
        </w:p>
        <w:p w14:paraId="17D07D4A" w14:textId="77777777" w:rsidR="003A50C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240"/>
            <w:rPr>
              <w:rFonts w:ascii="Calibri" w:eastAsia="Calibri" w:hAnsi="Calibri" w:cs="Calibri"/>
              <w:smallCaps/>
              <w:color w:val="000000"/>
              <w:sz w:val="22"/>
              <w:szCs w:val="22"/>
            </w:rPr>
          </w:pPr>
          <w:hyperlink w:anchor="_heading=h.2jxsxqh">
            <w:r>
              <w:rPr>
                <w:rFonts w:ascii="Calibri" w:eastAsia="Calibri" w:hAnsi="Calibri" w:cs="Calibri"/>
                <w:smallCaps/>
                <w:color w:val="000000"/>
              </w:rPr>
              <w:t>4.1 | ARCHITEKTONICKO-DISPOZIČNÍ STUDIE</w:t>
            </w:r>
            <w:r>
              <w:rPr>
                <w:rFonts w:ascii="Calibri" w:eastAsia="Calibri" w:hAnsi="Calibri" w:cs="Calibri"/>
                <w:smallCaps/>
                <w:color w:val="000000"/>
              </w:rPr>
              <w:tab/>
              <w:t>9</w:t>
            </w:r>
          </w:hyperlink>
          <w:r>
            <w:fldChar w:fldCharType="end"/>
          </w:r>
        </w:p>
      </w:sdtContent>
    </w:sdt>
    <w:p w14:paraId="34633F93" w14:textId="77777777" w:rsidR="003A50C2" w:rsidRDefault="00000000">
      <w:pPr>
        <w:pStyle w:val="Nadpis1"/>
        <w:numPr>
          <w:ilvl w:val="0"/>
          <w:numId w:val="3"/>
        </w:numPr>
        <w:rPr>
          <w:rFonts w:ascii="Calibri" w:eastAsia="Calibri" w:hAnsi="Calibri" w:cs="Calibri"/>
        </w:rPr>
      </w:pPr>
      <w:bookmarkStart w:id="0" w:name="_heading=h.gjdgxs" w:colFirst="0" w:colLast="0"/>
      <w:bookmarkEnd w:id="0"/>
      <w:r>
        <w:rPr>
          <w:rFonts w:ascii="Calibri" w:eastAsia="Calibri" w:hAnsi="Calibri" w:cs="Calibri"/>
        </w:rPr>
        <w:lastRenderedPageBreak/>
        <w:t>úvod</w:t>
      </w:r>
    </w:p>
    <w:p w14:paraId="5E8AAD03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Předmětem výběrového řízení na Zhotovitele projektové dokumentace </w:t>
      </w:r>
      <w:r>
        <w:rPr>
          <w:rFonts w:ascii="Calibri" w:eastAsia="Calibri" w:hAnsi="Calibri" w:cs="Calibri"/>
          <w:b/>
          <w:color w:val="000000"/>
        </w:rPr>
        <w:t xml:space="preserve">Revitalizace budovy bývalé školy a parku v Předklášteří </w:t>
      </w:r>
      <w:r>
        <w:rPr>
          <w:rFonts w:ascii="Calibri" w:eastAsia="Calibri" w:hAnsi="Calibri" w:cs="Calibri"/>
          <w:color w:val="000000"/>
        </w:rPr>
        <w:t xml:space="preserve">je návrh revitalizace budovy bývalé školy a její přeměna v trvale udržitelnou multifunkční stavbu odpovídající současnému energetickému standardu. Okolí budovy je třeba dotvořit v bezpečné, příjemné pobytové místo, které bude dobře sloužit obyvatelům obce i ostatním návštěvníkům. </w:t>
      </w:r>
    </w:p>
    <w:p w14:paraId="091C384A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Součástí je řešení území parku a jeho návazností na blízké okolí v centru obce Předklášteří. Záměr je jedním z hlavních dlouhodobých plánů obce, který má přinést řešení vhodného propojení náměstí obce s přilehlým parkem. Součástí areálu parku bude nové provozní a hygienické zázemí pro pořádání venkovních kulturních akcí a doplnění nebo úprava dalších objektů pro veřejnou potřebu.</w:t>
      </w:r>
    </w:p>
    <w:p w14:paraId="1AA82D73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0E461F4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1" w:name="_heading=h.30j0zll" w:colFirst="0" w:colLast="0"/>
      <w:bookmarkEnd w:id="1"/>
      <w:r>
        <w:rPr>
          <w:rFonts w:ascii="Calibri" w:eastAsia="Calibri" w:hAnsi="Calibri" w:cs="Calibri"/>
        </w:rPr>
        <w:t>zadání</w:t>
      </w:r>
    </w:p>
    <w:p w14:paraId="148EAAEE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Při návrhu revitalizace se očekává reprezentativní a důstojná architektura soudobé veřejné budovy.</w:t>
      </w:r>
    </w:p>
    <w:p w14:paraId="40402568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77E7E26A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Návrh by měl reagovat na historický význam stavby a její významnou polohu v obci. Spolu s úpravou nejbližšího okolí adekvátně pojednat také související veřejná prostranství. Areál by měl být napojen na okolní urbánní strukturu nejen dopravně, ale především pro pěší a cyklisty. Měl by vytvářet přívětivé prostředí, bezpečné pro všechny uživatele.</w:t>
      </w:r>
    </w:p>
    <w:p w14:paraId="15E60255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Od vnitřních prostor neočekáváme pouhé splnění norem a předpisů, budova by měla mít vlídnou atmosféru s inspirativními a příjemnými prostory. Stavba by měla být flexibilním i univerzálním prostorem, měla by umožnit různé formy využití a nabídnout v rozumné míře propojení interiéru s exteriérem.</w:t>
      </w:r>
    </w:p>
    <w:p w14:paraId="33F43A3E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3B6B1B50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1703AE25" w14:textId="77777777" w:rsidR="003A50C2" w:rsidRDefault="00000000">
      <w:pPr>
        <w:pStyle w:val="Nadpis1"/>
        <w:rPr>
          <w:rFonts w:ascii="Calibri" w:eastAsia="Calibri" w:hAnsi="Calibri" w:cs="Calibri"/>
        </w:rPr>
      </w:pPr>
      <w:bookmarkStart w:id="2" w:name="_heading=h.1fob9te" w:colFirst="0" w:colLast="0"/>
      <w:bookmarkEnd w:id="2"/>
      <w:r>
        <w:rPr>
          <w:rFonts w:ascii="Calibri" w:eastAsia="Calibri" w:hAnsi="Calibri" w:cs="Calibri"/>
        </w:rPr>
        <w:lastRenderedPageBreak/>
        <w:t>území</w:t>
      </w:r>
    </w:p>
    <w:p w14:paraId="033C925E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Jedná se o rozlehlý areál přístupný pro pěší ulicemi U Sušírny, Komenského a Šikulova. Řešené pozemky se nachází v k.ú. Předklášteří -  p.č. 47/1, 302, 47/5, 45, 44, 158, 499. Areál parku je z části vymezen ohradními zdmi, při hranici s ulicí Šikulova mu tvoří sousedství zahrady řadových domů a domov pro seniory.</w:t>
      </w:r>
    </w:p>
    <w:p w14:paraId="45C7DA38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1F0B676C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01 / V severní části se nachází různorodá zástavba tvořená autobusovou zastávkou a ohradní zdí se vstupní bránou, nevyhovujícím stávajícím skladem zařízení pro kulturní akce a dalšími skladovacími objekty, které nejsou v majetku investora.  Prostor přiléhající k ulici Komenského je pravidelně dějištěm různých kulturních akcí - Klášterská míle, Kinematograf bratří Čadíků, dětská sportovní odpoledne, divadelního festivalu TyJáTr FEST, přehlídka veteránů apod. Pro tyto aktivity chybí hygienické zázemí i skladovací kapacity.</w:t>
      </w:r>
    </w:p>
    <w:p w14:paraId="138B52E2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i/>
          <w:color w:val="000000"/>
        </w:rPr>
        <w:t>Viz příloha P02 – 01 fotodokumentace</w:t>
      </w:r>
    </w:p>
    <w:p w14:paraId="62F767DD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858793A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02 / Západní strana podél ulice U Sušírny je ohraničena u náměstí objekty pro technické zázemí obce, od bytového domu s ordinací stomatologa je park dále ohraničen ohradní zdí z lomového kamene.</w:t>
      </w:r>
    </w:p>
    <w:p w14:paraId="052F8E26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i/>
          <w:color w:val="000000"/>
        </w:rPr>
        <w:t>Viz příloha P02 – 02 fotodokumentace</w:t>
      </w:r>
    </w:p>
    <w:p w14:paraId="0C6D06BF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DA8970A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03 / Park sousedí s domem pro seniory, kde je i jeden z pěších vstupů do areálu. Jižní část parku hraničí se zahradami rodinných domů a domem s pečovatelskou službou s dalším pěším propojením do parku.</w:t>
      </w:r>
    </w:p>
    <w:p w14:paraId="57B749AD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i/>
          <w:color w:val="000000"/>
        </w:rPr>
        <w:t>Viz příloha P02 – 03 fotodokumentace</w:t>
      </w:r>
    </w:p>
    <w:p w14:paraId="2D925308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618823EF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04 / Terén parku je ve střední části parku mírně svažitého charakteru, rozdělen přirozeně na spodní část přiléhající k ulici Komenského a horní část, které dominuje budova bývalé školy. V severní části je nově vybudované dětské hřiště.</w:t>
      </w:r>
    </w:p>
    <w:p w14:paraId="3ED77359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i/>
          <w:color w:val="000000"/>
        </w:rPr>
        <w:t>Viz příloha P02 – 04 fotodokumentace</w:t>
      </w:r>
    </w:p>
    <w:p w14:paraId="6A70E9E8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08CA5B8D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05 / Ve střední části parku chátrá nevyužívaná budova bývalé školy. Budova a její okolí se během let staly postupně místem, které přitahuje nejrůznější sociální skupiny pro svou uzavřenost, rozlehlost a intimitu a z toho plynoucí malou sociální kontrolu v jejím nejbližším okolí. Je to místo nepříjemné, mnohými vnímáno jako nebezpečné, odrazující od zastavení nebo i průchodu kolem něj. V těsné návaznosti je nově vybudované workoutové hřiště a altán ve špatném technickém stavu.</w:t>
      </w:r>
    </w:p>
    <w:p w14:paraId="5626E3C6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i/>
          <w:color w:val="000000"/>
        </w:rPr>
        <w:t>Viz příloha P02 – 05 fotodokumentace</w:t>
      </w:r>
    </w:p>
    <w:p w14:paraId="2CFCFB92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004BE550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3" w:name="_heading=h.3znysh7" w:colFirst="0" w:colLast="0"/>
      <w:bookmarkEnd w:id="3"/>
      <w:r>
        <w:rPr>
          <w:rFonts w:ascii="Calibri" w:eastAsia="Calibri" w:hAnsi="Calibri" w:cs="Calibri"/>
        </w:rPr>
        <w:t>Územní plán obce</w:t>
      </w:r>
    </w:p>
    <w:p w14:paraId="7AA8D64C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Územní plán vymezuje pozemky funkční plochou občanská vybavenost veřejná OVv a smíšená obytná venkovská SOv. Kompletní územní plán obce Předklášteří v plném znění po Změně ÚP č.1 je součástí přílohy viz </w:t>
      </w:r>
      <w:r>
        <w:rPr>
          <w:rFonts w:ascii="Calibri" w:eastAsia="Calibri" w:hAnsi="Calibri" w:cs="Calibri"/>
          <w:i/>
          <w:color w:val="000000"/>
        </w:rPr>
        <w:t>P06 - Územní plán, Záplavové zóny</w:t>
      </w:r>
    </w:p>
    <w:p w14:paraId="3A321035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color w:val="000000"/>
        </w:rPr>
      </w:pPr>
      <w:r>
        <w:rPr>
          <w:rFonts w:ascii="Calibri" w:eastAsia="Calibri" w:hAnsi="Calibri" w:cs="Calibri"/>
          <w:i/>
          <w:noProof/>
          <w:color w:val="000000"/>
        </w:rPr>
        <w:lastRenderedPageBreak/>
        <w:drawing>
          <wp:inline distT="0" distB="0" distL="0" distR="0" wp14:anchorId="137AB1C8" wp14:editId="650300C6">
            <wp:extent cx="6120130" cy="3474085"/>
            <wp:effectExtent l="0" t="0" r="0" b="0"/>
            <wp:docPr id="189475398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740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A48703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4" w:name="_heading=h.2et92p0" w:colFirst="0" w:colLast="0"/>
      <w:bookmarkEnd w:id="4"/>
      <w:r>
        <w:rPr>
          <w:rFonts w:ascii="Calibri" w:eastAsia="Calibri" w:hAnsi="Calibri" w:cs="Calibri"/>
        </w:rPr>
        <w:t>HISTORICKÝ A STAVEBNĚ TECHNICKÝ POPIS BUDOVY</w:t>
      </w:r>
    </w:p>
    <w:p w14:paraId="1BDC5C0D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Původní budova, Bauerova vila, byla postavena ve druhé polovině 19. století jako sídlo majitele cukrovaru. Jednalo se o neorenesanční čtyřpodlažní dům s mansardovou střechou. K domu byl spojovacím krčkem připojen jednopodlažní objekt sloužící jako taneční sál. V 70. letech 20. století proběhla v objektu radikální přestavba na budovu internátní školy. Z původní stavby bylo zachováno pouze nosné cihelné zdivo, jednopodlažní přístavba v zahradě byla zrušena kompletně. Během přestavby byl zcela změněn charakter a výraz stavby vybouráním nových velkých okenních otvorů, zbouráním mansardové střechy a jejím nahrazením střechou plochou a odstraněním štukových reliéfů na fasádě. Namísto štukové výzdoby byla fasáda opatřena v té době hojně používanou břízolitovou omítkou. Původní dřevěné trámové stropy byly zcela nahrazeny v té době moderní stropní konstrukcí sestávající z nosných ocelových profilů I a do nich vložených prefabrikovaných PZD desek. Tato nosná konstrukce byla doplněna zásypem z lehčeného materiálu, v tomto případě experlitu, na kterou byla následně provedeno souvrství podlahy. Od proběhlé rekonstrukce do dnešní doby neproběhly v objektu výraznější stavební úpravy, byly prováděny pouze udržovací práce k zajištění standardního provozu budovy.</w:t>
      </w:r>
    </w:p>
    <w:p w14:paraId="6FC43004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lastRenderedPageBreak/>
        <w:drawing>
          <wp:inline distT="0" distB="0" distL="0" distR="0" wp14:anchorId="3F4191D5" wp14:editId="5184736B">
            <wp:extent cx="6116955" cy="2685415"/>
            <wp:effectExtent l="0" t="0" r="0" b="0"/>
            <wp:docPr id="1894753989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26854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730CBA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5CBC1E66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Původní objekt měl dispozici klasické vily z 19. století s reprezentativní vstupní halou a schodišťovým prostorem a průchozími za sebou řazenými pokoji. Pro účely internátní školy byly dispozice upraveny tak, aby vznikly širší chodby, oddělené ubytovací pokoje a výukové třídy. To znamenalo vyzdívání většiny dveřních otvorů mezi jednotlivými místnostmi a naopak probourávání nových vstupů do tříd z chodeb. Zcela bylo změněno schodiště, kdy reprezentativní otevřený schodišťový prostor byl zmenšen na nutné minimum a bylo vybudováno standardizované železobetonové schodiště. Značných úprav doznalo též podzemní podlaží. Bohužel výkres změn v suterénu se nedochoval, ale lze se domnívat, že společně s celkovou rekonstrukcí budovy došlo i k vybudování současné velkokapacitní kuchyně a k ní náležících skladovacích a provozních prostor. Dále byl k hlavní budově přistavěn z jižní strany jednopodlažní spojovací krček propojující historickou budovu s nově vzniklou budovou tělocvičny. Do spojovacího krčku byly umístěny šatny žáků a hygienické zázemí pro tělocvičnu.</w:t>
      </w:r>
    </w:p>
    <w:p w14:paraId="37E71F4C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drawing>
          <wp:inline distT="0" distB="0" distL="0" distR="0" wp14:anchorId="614C9DF2" wp14:editId="53543118">
            <wp:extent cx="4236511" cy="3178373"/>
            <wp:effectExtent l="0" t="0" r="0" b="0"/>
            <wp:docPr id="1894753988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36511" cy="317837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8A88432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Původní stavba Bauerovi vily byla postavena v druhé polovině 19. století a dokumentace k této stavbě se nedochovala. Lze se ale domnívat, že použité stavební postupy a konstrukční řešení </w:t>
      </w:r>
      <w:r>
        <w:rPr>
          <w:rFonts w:ascii="Calibri" w:eastAsia="Calibri" w:hAnsi="Calibri" w:cs="Calibri"/>
          <w:color w:val="000000"/>
        </w:rPr>
        <w:lastRenderedPageBreak/>
        <w:t>odpovídaly době vzniku stavby. Proto lze s určitou mírou pravděpodobnosti říci, že stavba byla vyzděna z plných pálených cihel, stropy byly dřevěné trámové se záklopem a zásypem ze škváry nebo směsi hlíny a dalších materiálů. Dále lze předpokládat dřevěný tesařsky vázaný krov s krytinou z keramických pálených tašek. Do dnešní doby se ovšem z původní stavby dochovaly pouze nosné stěny, které jsou vyzděné z plných pálených cihel na cementovou maltu. Jak již bylo zmíněno výše, všechny původní stropní konstrukce byly vybourány a nahrazeny novými stropy z ocelových nosníků a prefabrikovaných PZD desek. Výjimku tvoří stropní konstrukce nad chodbami a místností, která vznikla zmenšením schodišťového prostoru, neboť v těchto prostorech je stropní konstrukce tvořena pouze prefabrikovanými PZD deskami bez ocelových nosníků.</w:t>
      </w:r>
    </w:p>
    <w:p w14:paraId="33E446FC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Konkrétnější skladby jednotlivých viz </w:t>
      </w:r>
      <w:r>
        <w:rPr>
          <w:rFonts w:ascii="Calibri" w:eastAsia="Calibri" w:hAnsi="Calibri" w:cs="Calibri"/>
          <w:i/>
          <w:color w:val="000000"/>
        </w:rPr>
        <w:t>příloha P03 – Nerealizovaný projekt</w:t>
      </w:r>
      <w:r>
        <w:rPr>
          <w:rFonts w:ascii="Calibri" w:eastAsia="Calibri" w:hAnsi="Calibri" w:cs="Calibri"/>
          <w:color w:val="000000"/>
        </w:rPr>
        <w:t xml:space="preserve">. Během přestavby budovy byla též demolována původní střecha, která byla nahrazena střechou plochou. Nosnou konstrukci nové střechy tvoří, podobně jako u stropních konstrukcí, ocelové nosníky I s vloženými prefabrikovanými PZD deskami. Na této nosné konstrukci je provedeno další souvrství střechy, které je zakončeno vrstvou asfaltové lepenky. </w:t>
      </w:r>
    </w:p>
    <w:p w14:paraId="5783FCB3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Konstrukční řešení novostavby spojovacího krčku a tělocvičny není z archivní dokumentace úplně patrné, dochoval se pouze jeden stavební půdorys bez specifikací jednotlivých stavebních materiálů. V případě stropů je ale pravděpodobné, že byla použita stejná technologie jako u stropních konstrukcí v historické budově.</w:t>
      </w:r>
    </w:p>
    <w:p w14:paraId="7D823FFB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08DD820A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Objekt je v současnosti vyklizen a delší dobu nevyužíván. V objektu jsou dožité technické rozvody, není zdroj tepla. Suterén objektu má nedostatečnou hydroizolaci - projevuje se značná vlhkost konstrukcí.</w:t>
      </w:r>
    </w:p>
    <w:p w14:paraId="34D264DE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V </w:t>
      </w:r>
      <w:r>
        <w:rPr>
          <w:rFonts w:ascii="Calibri" w:eastAsia="Calibri" w:hAnsi="Calibri" w:cs="Calibri"/>
          <w:i/>
          <w:color w:val="000000"/>
        </w:rPr>
        <w:t>příloze P03 – Nerealizovaný projekt</w:t>
      </w:r>
      <w:r>
        <w:rPr>
          <w:rFonts w:ascii="Calibri" w:eastAsia="Calibri" w:hAnsi="Calibri" w:cs="Calibri"/>
          <w:color w:val="000000"/>
        </w:rPr>
        <w:t xml:space="preserve"> je kompletní realizační dokumentace na poslední investiční záměr z roku 2016 - Předklášteří - Metodické edukační centrum a depozitář pro archeologii.</w:t>
      </w:r>
    </w:p>
    <w:p w14:paraId="06746B13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B3C63E3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PARK</w:t>
      </w:r>
    </w:p>
    <w:p w14:paraId="16D0C6D8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Současný park byl původně zahradou Bauerovy vily. Zahrada bylo koncipována jako reprezentační prostor obklopující vilu s centrálním travnatým parterem v hlavní ose, který byl akcentován keřovou skupinou ve svahu a kruhovým vodním prvkem před průčelím vily. Po obvodu byla zahrada lemována porostním pláštěm listnatých stromů se solitérami exotů (platan, jinan) a skupinami jehličnatých dřevin (borovice černá a smrk). Tato klasická dispozice odkazující na zahradní umění 19. století je dosud patrná a pro charakter celého prostoru určující. Převážně dochovaná je i původní cestní síť. Povrch některých chodníků a cest ale není v uspokojivém stavu. V keřovém patře dominuje tis, který místy narušuje původní dispozici, především průhledy na vilu. Park je po revitalizaci doplněn novými výsadbami, které však nejsou z hlediska druhového složení a prostorového uspořádání optimální (zdvojování a nevhodné umístění exotických solitér v podobě liliovníku, použití sloupovitých habrů v porostním plášti, liniová výsadba podél komunikace) a narušují původní kompoziční záměr.  </w:t>
      </w:r>
    </w:p>
    <w:p w14:paraId="62691BF7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Inventarizace a dendrologické posouzení dřevin celého dotčeného území je k dispozici na odkazu </w:t>
      </w:r>
    </w:p>
    <w:p w14:paraId="7562C837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hyperlink r:id="rId11" w:anchor="%7B%22zoom%22%3A18%2C%22lat%22%3A49.351575039074106%2C%22lng%22%3A16.403970768830586%7D">
        <w:r>
          <w:rPr>
            <w:rFonts w:ascii="Calibri" w:eastAsia="Calibri" w:hAnsi="Calibri" w:cs="Calibri"/>
            <w:color w:val="0563C1"/>
            <w:u w:val="single"/>
          </w:rPr>
          <w:t>https://www.stromypodkontrolou.cz/map/#%7B%22zoom%22%3A18%2C%22lat%22%3A49.351575039074106%2C%22lng%22%3A16.403970768830586%7D</w:t>
        </w:r>
      </w:hyperlink>
    </w:p>
    <w:p w14:paraId="69A7DEFD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6822773C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0D452526" w14:textId="77777777" w:rsidR="00D82B9E" w:rsidRDefault="00D82B9E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0AEC8F2" w14:textId="77777777" w:rsidR="00D82B9E" w:rsidRDefault="00D82B9E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C5FB0D9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5" w:name="_heading=h.tyjcwt" w:colFirst="0" w:colLast="0"/>
      <w:bookmarkEnd w:id="5"/>
      <w:r>
        <w:rPr>
          <w:rFonts w:ascii="Calibri" w:eastAsia="Calibri" w:hAnsi="Calibri" w:cs="Calibri"/>
        </w:rPr>
        <w:lastRenderedPageBreak/>
        <w:t>Technická infrastruktura</w:t>
      </w:r>
    </w:p>
    <w:p w14:paraId="3E1052DE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Pasportizace inženýrských sítí je součástí přílohy </w:t>
      </w:r>
      <w:r>
        <w:rPr>
          <w:rFonts w:ascii="Calibri" w:eastAsia="Calibri" w:hAnsi="Calibri" w:cs="Calibri"/>
          <w:i/>
          <w:color w:val="000000"/>
        </w:rPr>
        <w:t>P05 - Mapové podklady, polohopis, výškopis, DKM, ortofotomapa, inženýrské sítě</w:t>
      </w:r>
      <w:r>
        <w:rPr>
          <w:rFonts w:ascii="Calibri" w:eastAsia="Calibri" w:hAnsi="Calibri" w:cs="Calibri"/>
          <w:color w:val="000000"/>
        </w:rPr>
        <w:t>. Jedná se o databázi obce Předklášteří, jednotlivé pozice je nutno ověřit u správců sítí.</w:t>
      </w:r>
    </w:p>
    <w:p w14:paraId="1347E6EB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87277CC" w14:textId="77777777" w:rsidR="003A50C2" w:rsidRDefault="00000000">
      <w:pPr>
        <w:pStyle w:val="Nadpis2"/>
        <w:numPr>
          <w:ilvl w:val="1"/>
          <w:numId w:val="1"/>
        </w:numPr>
        <w:jc w:val="both"/>
        <w:rPr>
          <w:rFonts w:ascii="Calibri" w:eastAsia="Calibri" w:hAnsi="Calibri" w:cs="Calibri"/>
        </w:rPr>
      </w:pPr>
      <w:bookmarkStart w:id="6" w:name="_heading=h.3dy6vkm" w:colFirst="0" w:colLast="0"/>
      <w:bookmarkEnd w:id="6"/>
      <w:r>
        <w:rPr>
          <w:rFonts w:ascii="Calibri" w:eastAsia="Calibri" w:hAnsi="Calibri" w:cs="Calibri"/>
        </w:rPr>
        <w:t>Dopravní napojení</w:t>
      </w:r>
    </w:p>
    <w:p w14:paraId="6A6AB050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V současnosti je dopravní napojení areálu a parkovací plochy v blízkém okolí nevyhovující. Je nutno řešit v širším kontextu, tak aby byl zajištěn plnohodnotný příjezd k budově bývalé školy. Současně nesmí dojít k negativnímu ovlivnění klidového prostředí parku od nadměrného množství aut.</w:t>
      </w:r>
    </w:p>
    <w:p w14:paraId="19FAD9C9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4781BD00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7" w:name="_heading=h.1t3h5sf" w:colFirst="0" w:colLast="0"/>
      <w:bookmarkEnd w:id="7"/>
      <w:r>
        <w:rPr>
          <w:rFonts w:ascii="Calibri" w:eastAsia="Calibri" w:hAnsi="Calibri" w:cs="Calibri"/>
        </w:rPr>
        <w:t>Dostupnost cyklostezek</w:t>
      </w:r>
    </w:p>
    <w:p w14:paraId="573C7FB1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Součástí mapových podkladů je i příloha </w:t>
      </w:r>
      <w:r>
        <w:rPr>
          <w:rFonts w:ascii="Calibri" w:eastAsia="Calibri" w:hAnsi="Calibri" w:cs="Calibri"/>
          <w:i/>
          <w:color w:val="000000"/>
        </w:rPr>
        <w:t>P06 - Schéma koridorů cyklistické dopravy</w:t>
      </w:r>
      <w:r>
        <w:rPr>
          <w:rFonts w:ascii="Calibri" w:eastAsia="Calibri" w:hAnsi="Calibri" w:cs="Calibri"/>
          <w:color w:val="000000"/>
        </w:rPr>
        <w:t xml:space="preserve"> s vyznačením hlavních cyklistických tras ve vazbě na širší okolí. Hlavní trasy v okolí:</w:t>
      </w:r>
    </w:p>
    <w:p w14:paraId="46FB8935" w14:textId="77777777" w:rsidR="003A50C2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Přes Palackého, Komenského na ulici Klášterská</w:t>
      </w:r>
    </w:p>
    <w:p w14:paraId="3ACBA346" w14:textId="77777777" w:rsidR="003A50C2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Návaznost na cyklostezku Ostrovec podél řeky</w:t>
      </w:r>
    </w:p>
    <w:p w14:paraId="31439949" w14:textId="77777777" w:rsidR="003A50C2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Cyklostezka z ulice Za mlýnem do Předklášteří přes Térovnu na ulici Pod Horkou a Šikulovu (součást cyklotrasy EuroVelo 4)</w:t>
      </w:r>
    </w:p>
    <w:p w14:paraId="095C4BBB" w14:textId="77777777" w:rsidR="003A50C2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Cyklostezka na Lomničku</w:t>
      </w:r>
    </w:p>
    <w:p w14:paraId="34D1FFFA" w14:textId="77777777" w:rsidR="003A50C2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Cyklostezka do Štěpánovic</w:t>
      </w:r>
    </w:p>
    <w:p w14:paraId="7755F8C0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3834E346" w14:textId="77777777" w:rsidR="003A50C2" w:rsidRDefault="00000000">
      <w:pPr>
        <w:pStyle w:val="Nadpis2"/>
        <w:numPr>
          <w:ilvl w:val="1"/>
          <w:numId w:val="1"/>
        </w:numPr>
        <w:jc w:val="both"/>
        <w:rPr>
          <w:rFonts w:ascii="Calibri" w:eastAsia="Calibri" w:hAnsi="Calibri" w:cs="Calibri"/>
        </w:rPr>
      </w:pPr>
      <w:bookmarkStart w:id="8" w:name="_heading=h.4d34og8" w:colFirst="0" w:colLast="0"/>
      <w:bookmarkEnd w:id="8"/>
      <w:r>
        <w:rPr>
          <w:rFonts w:ascii="Calibri" w:eastAsia="Calibri" w:hAnsi="Calibri" w:cs="Calibri"/>
        </w:rPr>
        <w:t>Limity území a ochranná pásma</w:t>
      </w:r>
    </w:p>
    <w:p w14:paraId="5FFFC247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Kompletní územní plán obce Předklášteří v plném znění po Změně ÚP č.1 je součástí přílohy viz </w:t>
      </w:r>
      <w:r>
        <w:rPr>
          <w:rFonts w:ascii="Calibri" w:eastAsia="Calibri" w:hAnsi="Calibri" w:cs="Calibri"/>
          <w:i/>
          <w:color w:val="000000"/>
        </w:rPr>
        <w:t xml:space="preserve">P06 - Územní plán, Záplavové zóny </w:t>
      </w:r>
      <w:r>
        <w:rPr>
          <w:rFonts w:ascii="Calibri" w:eastAsia="Calibri" w:hAnsi="Calibri" w:cs="Calibri"/>
          <w:color w:val="000000"/>
        </w:rPr>
        <w:t>včetně aktualizace záplavového území pro katastr obce Předklášteří 2023.</w:t>
      </w:r>
    </w:p>
    <w:p w14:paraId="71CD136D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636F438B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 dostupných podkladů nejsou v území známy žádné limity, pouze areál spadá pod Hranici zvláštní povodňové vlny vodního díla Vír.</w:t>
      </w:r>
    </w:p>
    <w:p w14:paraId="3E7F0A95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2AC5BCDD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9" w:name="_heading=h.2s8eyo1" w:colFirst="0" w:colLast="0"/>
      <w:bookmarkEnd w:id="9"/>
      <w:r>
        <w:rPr>
          <w:rFonts w:ascii="Calibri" w:eastAsia="Calibri" w:hAnsi="Calibri" w:cs="Calibri"/>
        </w:rPr>
        <w:t>Geologický profil území</w:t>
      </w:r>
    </w:p>
    <w:p w14:paraId="7EEB2FBD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Součástí přílohy </w:t>
      </w:r>
      <w:r>
        <w:rPr>
          <w:rFonts w:ascii="Calibri" w:eastAsia="Calibri" w:hAnsi="Calibri" w:cs="Calibri"/>
          <w:i/>
          <w:color w:val="000000"/>
        </w:rPr>
        <w:t>P03 - Nerealizovaný projekt</w:t>
      </w:r>
      <w:r>
        <w:rPr>
          <w:rFonts w:ascii="Calibri" w:eastAsia="Calibri" w:hAnsi="Calibri" w:cs="Calibri"/>
          <w:color w:val="000000"/>
        </w:rPr>
        <w:t xml:space="preserve"> je inženýrsko-geologický průzkum pro plánovaný investiční záměr z roku 2016 - Předklášteří - Metodické edukační centrum a depozitář pro archeologii.</w:t>
      </w:r>
    </w:p>
    <w:p w14:paraId="1F93747A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76E827E3" w14:textId="77777777" w:rsidR="003A50C2" w:rsidRDefault="00000000">
      <w:pPr>
        <w:pStyle w:val="Nadpis1"/>
        <w:rPr>
          <w:rFonts w:ascii="Calibri" w:eastAsia="Calibri" w:hAnsi="Calibri" w:cs="Calibri"/>
        </w:rPr>
      </w:pPr>
      <w:bookmarkStart w:id="10" w:name="_heading=h.17dp8vu" w:colFirst="0" w:colLast="0"/>
      <w:bookmarkEnd w:id="10"/>
      <w:r>
        <w:rPr>
          <w:rFonts w:ascii="Calibri" w:eastAsia="Calibri" w:hAnsi="Calibri" w:cs="Calibri"/>
        </w:rPr>
        <w:lastRenderedPageBreak/>
        <w:t>Stavební program</w:t>
      </w:r>
    </w:p>
    <w:p w14:paraId="434F18D0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bookmarkStart w:id="11" w:name="_heading=h.3rdcrjn" w:colFirst="0" w:colLast="0"/>
      <w:bookmarkEnd w:id="11"/>
      <w:r>
        <w:rPr>
          <w:rFonts w:ascii="Calibri" w:eastAsia="Calibri" w:hAnsi="Calibri" w:cs="Calibri"/>
          <w:color w:val="000000"/>
        </w:rPr>
        <w:t>Při hledání optimálního řešení bude nejdůležitější stanovení koncepce celého areálu a následně vytvoření etapizace výstavby dle priorit obce Předklášteří. V této fázi je nutná úzká spolupráce investora a projektanta.</w:t>
      </w:r>
    </w:p>
    <w:p w14:paraId="4C77CC63" w14:textId="77777777" w:rsidR="00D82B9E" w:rsidRDefault="00D82B9E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2AE8D03A" w14:textId="77777777" w:rsidR="00D82B9E" w:rsidRDefault="00D82B9E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 w:rsidRPr="00D82B9E">
        <w:rPr>
          <w:rFonts w:ascii="Calibri" w:eastAsia="Calibri" w:hAnsi="Calibri" w:cs="Calibri"/>
          <w:color w:val="000000"/>
        </w:rPr>
        <w:drawing>
          <wp:inline distT="0" distB="0" distL="0" distR="0" wp14:anchorId="5FEC39F0" wp14:editId="04778C53">
            <wp:extent cx="3194050" cy="4401015"/>
            <wp:effectExtent l="0" t="0" r="6350" b="0"/>
            <wp:docPr id="86351772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51772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2781" cy="444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907E1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64000F2A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12" w:name="_heading=h.26in1rg" w:colFirst="0" w:colLast="0"/>
      <w:bookmarkEnd w:id="12"/>
      <w:r>
        <w:rPr>
          <w:rFonts w:ascii="Calibri" w:eastAsia="Calibri" w:hAnsi="Calibri" w:cs="Calibri"/>
        </w:rPr>
        <w:t>ZÁZEMÍ PRO KULTURNÍ AKCE</w:t>
      </w:r>
    </w:p>
    <w:p w14:paraId="7152A296" w14:textId="77777777" w:rsidR="003A50C2" w:rsidRDefault="00000000">
      <w:pP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</w:rPr>
        <w:t xml:space="preserve">V místě stávajícího objektu na p.č. 44 v dolní části parku požaduje investor vybudování nového objektu se zázemím pro pořádání venkovních kulturních akcí. Předpokládá se jeho letní provoz s možností přitápění a hygienickým zázemím pro účastníky akcí. Dále vybavení pro zajištění občerstvení - kuchyň, WC, úklidová místnost, výdejové okénko, sklad na pivní sety, stany a </w:t>
      </w:r>
      <w:r>
        <w:rPr>
          <w:rFonts w:ascii="Calibri" w:eastAsia="Calibri" w:hAnsi="Calibri" w:cs="Calibri"/>
          <w:color w:val="000000"/>
        </w:rPr>
        <w:t>další potřeby.</w:t>
      </w:r>
    </w:p>
    <w:p w14:paraId="0A3436A7" w14:textId="77777777" w:rsidR="003A50C2" w:rsidRDefault="00000000">
      <w:pP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Velikost kulturního zázemí 120 – 150 m</w:t>
      </w:r>
      <w:r>
        <w:rPr>
          <w:rFonts w:ascii="Calibri" w:eastAsia="Calibri" w:hAnsi="Calibri" w:cs="Calibri"/>
          <w:color w:val="000000"/>
          <w:vertAlign w:val="superscript"/>
        </w:rPr>
        <w:t>2</w:t>
      </w:r>
      <w:r>
        <w:rPr>
          <w:rFonts w:ascii="Calibri" w:eastAsia="Calibri" w:hAnsi="Calibri" w:cs="Calibri"/>
          <w:color w:val="000000"/>
        </w:rPr>
        <w:t xml:space="preserve"> (skladovací prostor cca 35 m</w:t>
      </w:r>
      <w:r>
        <w:rPr>
          <w:rFonts w:ascii="Calibri" w:eastAsia="Calibri" w:hAnsi="Calibri" w:cs="Calibri"/>
          <w:color w:val="000000"/>
          <w:vertAlign w:val="superscript"/>
        </w:rPr>
        <w:t>2</w:t>
      </w:r>
      <w:r>
        <w:rPr>
          <w:rFonts w:ascii="Calibri" w:eastAsia="Calibri" w:hAnsi="Calibri" w:cs="Calibri"/>
          <w:color w:val="000000"/>
        </w:rPr>
        <w:t>)</w:t>
      </w:r>
    </w:p>
    <w:p w14:paraId="10215659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69FA5837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PROPOJENÍ VEŘEJNÝCH PROSTRANSTVÍ </w:t>
      </w:r>
    </w:p>
    <w:p w14:paraId="4417258C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Bude řešeno propojení náměstí a parku pro pěší za účelem vytvoření lepší prostupnosti území. Cílem je vyšší frekvence pohybu návštěvníků parku/parkem a s tím související vyšší sociální kontrola území a jeho bezpečnost. Součástí nového dopravního řešení napojení objektu bývalé školy bude řešení dopravní obsluhy objektu a parkovacích míst. </w:t>
      </w:r>
    </w:p>
    <w:p w14:paraId="47085775" w14:textId="77777777" w:rsidR="003A50C2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V rámci hledání možného propojení areálu parku s centrální částí obce se počítá s odstraněním budovy č.p. 1406 - tato budova se přesune do místní části obce Trávníky do plochy s využitím Sv (smíšená výroba), tato budova má ocelovou konstrukci, počítá se s možnou demontáží a přesunem.</w:t>
      </w:r>
    </w:p>
    <w:p w14:paraId="260FF70D" w14:textId="77777777" w:rsidR="003A50C2" w:rsidRDefault="003A50C2">
      <w:pPr>
        <w:widowControl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D857581" w14:textId="77777777" w:rsidR="003A50C2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Jedno z uvažovaných řešení dopravního napojení je vést novou komunikaci přes objekt garáží bytového domu Komenského č.p. 1200. Tato část objektu je v havarijním stavu. Součástí řešení bude i návrh nejbližší okolí bytového domu a nutné vyvolené stavební úpravy. Bytový dům není předmětem zakázky.</w:t>
      </w:r>
    </w:p>
    <w:p w14:paraId="13F9B028" w14:textId="77777777" w:rsidR="003A50C2" w:rsidRDefault="003A50C2">
      <w:pPr>
        <w:jc w:val="both"/>
        <w:rPr>
          <w:rFonts w:ascii="Calibri" w:eastAsia="Calibri" w:hAnsi="Calibri" w:cs="Calibri"/>
        </w:rPr>
      </w:pPr>
    </w:p>
    <w:p w14:paraId="6CE79D49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13" w:name="_heading=h.lnxbz9" w:colFirst="0" w:colLast="0"/>
      <w:bookmarkEnd w:id="13"/>
      <w:r>
        <w:rPr>
          <w:rFonts w:ascii="Calibri" w:eastAsia="Calibri" w:hAnsi="Calibri" w:cs="Calibri"/>
        </w:rPr>
        <w:t>BUDOVA BÝVALÉ ŠKOLY</w:t>
      </w:r>
    </w:p>
    <w:p w14:paraId="0C89E08D" w14:textId="77777777" w:rsidR="003A50C2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Opuštěný objekt bývalé školy v majetku obce, dispoziční uspořádání – suterén, 1.NP, 2.NP, 3.NP,  spojovací krček s hygienickým zázemím a tělocvična.</w:t>
      </w:r>
    </w:p>
    <w:p w14:paraId="20782B69" w14:textId="77777777" w:rsidR="003A50C2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Předpokládá se rekonstrukce budovy do soudobých standardů tepelně-technického a technologického vybavení objektu s ohledem na trvalou udržitelnost řešení (vytápění, větrání, chlazení, stínění). Dispoziční řešení bude pokud možno variabilní s možností pronájmu různým subjektům. Projekt bude počítat s možností čerpání dotačních titulů a bude případně reagovat na jednotlivé požadavky a podmínky pro jejich získání.</w:t>
      </w:r>
    </w:p>
    <w:p w14:paraId="3D2618BC" w14:textId="77777777" w:rsidR="003A50C2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Řešení dopravního napojení budovy z náměstí při nastavení optimálního režimu vjezdu a parkování. Je nutno řešit napojení na technickou infrastrukturu. </w:t>
      </w:r>
    </w:p>
    <w:p w14:paraId="798FC9F9" w14:textId="77777777" w:rsidR="004B5B91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Součástí bude návrh dispozičních úprav umožňujících využití přízemí objektu a jeho nejbližšího okolí veřejností. </w:t>
      </w:r>
    </w:p>
    <w:p w14:paraId="1C4441F5" w14:textId="77777777" w:rsidR="003A50C2" w:rsidRDefault="004B5B91">
      <w:pPr>
        <w:jc w:val="both"/>
        <w:rPr>
          <w:rFonts w:ascii="Calibri" w:eastAsia="Calibri" w:hAnsi="Calibri" w:cs="Calibri"/>
          <w:b/>
          <w:bCs/>
        </w:rPr>
      </w:pPr>
      <w:r w:rsidRPr="004B5B91">
        <w:rPr>
          <w:rFonts w:ascii="Calibri" w:eastAsia="Calibri" w:hAnsi="Calibri" w:cs="Calibri"/>
          <w:b/>
          <w:bCs/>
        </w:rPr>
        <w:t xml:space="preserve">Studie bude </w:t>
      </w:r>
      <w:r>
        <w:rPr>
          <w:rFonts w:ascii="Calibri" w:eastAsia="Calibri" w:hAnsi="Calibri" w:cs="Calibri"/>
          <w:b/>
          <w:bCs/>
        </w:rPr>
        <w:t xml:space="preserve">zpracována variantně, bude </w:t>
      </w:r>
      <w:r w:rsidRPr="004B5B91">
        <w:rPr>
          <w:rFonts w:ascii="Calibri" w:eastAsia="Calibri" w:hAnsi="Calibri" w:cs="Calibri"/>
          <w:b/>
          <w:bCs/>
        </w:rPr>
        <w:t>průběžně konzultována a povede k do</w:t>
      </w:r>
      <w:r>
        <w:rPr>
          <w:rFonts w:ascii="Calibri" w:eastAsia="Calibri" w:hAnsi="Calibri" w:cs="Calibri"/>
          <w:b/>
          <w:bCs/>
        </w:rPr>
        <w:t>pracování</w:t>
      </w:r>
      <w:r w:rsidRPr="004B5B91">
        <w:rPr>
          <w:rFonts w:ascii="Calibri" w:eastAsia="Calibri" w:hAnsi="Calibri" w:cs="Calibri"/>
          <w:b/>
          <w:bCs/>
        </w:rPr>
        <w:t xml:space="preserve"> jedn</w:t>
      </w:r>
      <w:r>
        <w:rPr>
          <w:rFonts w:ascii="Calibri" w:eastAsia="Calibri" w:hAnsi="Calibri" w:cs="Calibri"/>
          <w:b/>
          <w:bCs/>
        </w:rPr>
        <w:t>oho</w:t>
      </w:r>
      <w:r w:rsidRPr="004B5B91">
        <w:rPr>
          <w:rFonts w:ascii="Calibri" w:eastAsia="Calibri" w:hAnsi="Calibri" w:cs="Calibri"/>
          <w:b/>
          <w:bCs/>
        </w:rPr>
        <w:t xml:space="preserve"> finální</w:t>
      </w:r>
      <w:r>
        <w:rPr>
          <w:rFonts w:ascii="Calibri" w:eastAsia="Calibri" w:hAnsi="Calibri" w:cs="Calibri"/>
          <w:b/>
          <w:bCs/>
        </w:rPr>
        <w:t>ho</w:t>
      </w:r>
      <w:r w:rsidRPr="004B5B91"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  <w:b/>
          <w:bCs/>
        </w:rPr>
        <w:t>řešení</w:t>
      </w:r>
      <w:r w:rsidRPr="004B5B91">
        <w:rPr>
          <w:rFonts w:ascii="Calibri" w:eastAsia="Calibri" w:hAnsi="Calibri" w:cs="Calibri"/>
          <w:b/>
          <w:bCs/>
        </w:rPr>
        <w:t>.</w:t>
      </w:r>
    </w:p>
    <w:p w14:paraId="01A30815" w14:textId="77777777" w:rsidR="00F47EDB" w:rsidRDefault="00F47EDB">
      <w:pPr>
        <w:jc w:val="both"/>
        <w:rPr>
          <w:rFonts w:ascii="Calibri" w:eastAsia="Calibri" w:hAnsi="Calibri" w:cs="Calibri"/>
          <w:b/>
          <w:bCs/>
        </w:rPr>
      </w:pPr>
    </w:p>
    <w:p w14:paraId="6679CA52" w14:textId="77777777" w:rsidR="003A50C2" w:rsidRDefault="00000000">
      <w:pPr>
        <w:rPr>
          <w:rFonts w:ascii="Calibri" w:eastAsia="Calibri" w:hAnsi="Calibri" w:cs="Calibri"/>
        </w:rPr>
      </w:pPr>
      <w:sdt>
        <w:sdtPr>
          <w:tag w:val="goog_rdk_1"/>
          <w:id w:val="343908555"/>
        </w:sdtPr>
        <w:sdtContent/>
      </w:sdt>
      <w:r>
        <w:rPr>
          <w:rFonts w:ascii="Calibri" w:eastAsia="Calibri" w:hAnsi="Calibri" w:cs="Calibri"/>
        </w:rPr>
        <w:t>Z diskutovaných možností využití bude v rámci plánované rekonstrukce posuzována variantě následující náplň:</w:t>
      </w:r>
    </w:p>
    <w:p w14:paraId="69538A93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Obecní knihovna</w:t>
      </w:r>
    </w:p>
    <w:p w14:paraId="44F80617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Klubovna – univerzální prostor, návaznost na kuchyňku, knihovnu (možnost spojování prostor + propojení s venkovním prostranstvím)</w:t>
      </w:r>
    </w:p>
    <w:p w14:paraId="7A0E6E47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Pronajímatelný prostor s vazbou na venkovní prostranství – např. malé bistro, bufet, kavárna, multifunkční sálek pro koncerty, kino, oslavy, přednášky apod. </w:t>
      </w:r>
    </w:p>
    <w:p w14:paraId="16A99667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Pronajímatelné kancelářské prostory např. pro DSO Tišnovsko</w:t>
      </w:r>
    </w:p>
    <w:p w14:paraId="02FBA398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Ponechat sportovní náplň v bývalé tělocvičně, menší lezecká stěna, skupinové lekce cvičení,  fitcentrum, sauna atd.</w:t>
      </w:r>
    </w:p>
    <w:p w14:paraId="0ABFBE36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Dětská skupina nebo jedna třída MŠ, Případně připravenost??</w:t>
      </w:r>
    </w:p>
    <w:p w14:paraId="78F0D5BD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Pronajímatelné prostory pro chráněné dílny</w:t>
      </w:r>
    </w:p>
    <w:p w14:paraId="4A44A65E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Ordinace pro stomatologa, praktického lékaře, dětského lékaře atd.</w:t>
      </w:r>
    </w:p>
    <w:p w14:paraId="46AF324C" w14:textId="77777777" w:rsidR="004B5B91" w:rsidRDefault="004B5B91" w:rsidP="004B5B91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Univerzální kancelářské prostory s odpovídajícím hygienickým a technickým zázemím, sdílená menší zasedací místnost.</w:t>
      </w:r>
    </w:p>
    <w:p w14:paraId="4A2978C2" w14:textId="77777777" w:rsidR="004B5B91" w:rsidRDefault="004B5B91">
      <w:pPr>
        <w:rPr>
          <w:rFonts w:ascii="Calibri" w:eastAsia="Calibri" w:hAnsi="Calibri" w:cs="Calibri"/>
        </w:rPr>
      </w:pPr>
    </w:p>
    <w:p w14:paraId="340A7A93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Preferovat univerzálnost řešení prostorů, pro snadnou adaptaci na měnící se požadavky využití. Cílem je získání, pokud možno co největšího počtu dotačních titulů na rekonstrukci objektu a nastavení životaschopného a udržitelného modelu fungování stavby ideálně i s ekonomickou návratností vložených prostředků. Bude vyhodnocováno v rámci stanovení výše investičních nákladů.</w:t>
      </w:r>
    </w:p>
    <w:p w14:paraId="110D39EA" w14:textId="77777777" w:rsidR="003A50C2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V rámci celého objektu je nutno řešit a zajistit bezbariérový přístup.</w:t>
      </w:r>
    </w:p>
    <w:p w14:paraId="437377AF" w14:textId="77777777" w:rsidR="003A50C2" w:rsidRDefault="003A50C2">
      <w:pPr>
        <w:rPr>
          <w:rFonts w:ascii="Calibri" w:eastAsia="Calibri" w:hAnsi="Calibri" w:cs="Calibri"/>
        </w:rPr>
      </w:pPr>
    </w:p>
    <w:p w14:paraId="3FC35ED3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14" w:name="_heading=h.35nkun2" w:colFirst="0" w:colLast="0"/>
      <w:bookmarkEnd w:id="14"/>
      <w:r>
        <w:rPr>
          <w:rFonts w:ascii="Calibri" w:eastAsia="Calibri" w:hAnsi="Calibri" w:cs="Calibri"/>
        </w:rPr>
        <w:t>AUTOBUSOVÁ ZASTÁVKA</w:t>
      </w:r>
    </w:p>
    <w:p w14:paraId="45198DDB" w14:textId="77777777" w:rsidR="003A50C2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Návrh nové podoby autobusové zastávky, korespondující s řešením ohraničení parku, cílem je především větší transparentnost pro zvýšení kontroly nad prostorem. V místech, kde je areál vymezen ohradní zdí vyhodnotit možnost jejího odstranění - zvážit přínos a míru zapojení parku do přiléhajících uličních prostor. </w:t>
      </w:r>
    </w:p>
    <w:p w14:paraId="0063F629" w14:textId="77777777" w:rsidR="003A50C2" w:rsidRDefault="003A50C2">
      <w:pPr>
        <w:rPr>
          <w:rFonts w:ascii="Calibri" w:eastAsia="Calibri" w:hAnsi="Calibri" w:cs="Calibri"/>
        </w:rPr>
      </w:pPr>
    </w:p>
    <w:p w14:paraId="15E73014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bookmarkStart w:id="15" w:name="_heading=h.1ksv4uv" w:colFirst="0" w:colLast="0"/>
      <w:bookmarkEnd w:id="15"/>
      <w:r>
        <w:rPr>
          <w:rFonts w:ascii="Calibri" w:eastAsia="Calibri" w:hAnsi="Calibri" w:cs="Calibri"/>
        </w:rPr>
        <w:t>PARKOVÁ ZELEŇ A ZAŘÍZENÍ PARKU</w:t>
      </w:r>
    </w:p>
    <w:p w14:paraId="612C370C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sdt>
        <w:sdtPr>
          <w:tag w:val="goog_rdk_2"/>
          <w:id w:val="1006096471"/>
        </w:sdtPr>
        <w:sdtContent/>
      </w:sdt>
      <w:r>
        <w:rPr>
          <w:rFonts w:ascii="Calibri" w:eastAsia="Calibri" w:hAnsi="Calibri" w:cs="Calibri"/>
          <w:color w:val="000000"/>
        </w:rPr>
        <w:t>stanovení dlouhodobé koncepce prostorového a provozního uspořádání parku</w:t>
      </w:r>
    </w:p>
    <w:p w14:paraId="7848B003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stanovení nebo potvrzení kompozičního záměru u vegetačních prvků</w:t>
      </w:r>
    </w:p>
    <w:p w14:paraId="179561A6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vyhodnocení stávajícího stavu rostlin a jejich perspektivy v kontextu stanovené koncepce rozvoje parku, návrh případné redukce nebo doplnění, etapizace zásahů, zvážení změn typů vegetačních prvků s ohledem na optimalizaci provozních nákladů a zvýšení biodiverzity parku (podrostové výsadby místo trávníků, změna typu trávníků v méně exponovaných místech, apod.)</w:t>
      </w:r>
    </w:p>
    <w:p w14:paraId="58CFC8D6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úprava a využití stávajícího altánu jako klidové zóny, preferujeme jeho zachování</w:t>
      </w:r>
    </w:p>
    <w:p w14:paraId="3658A80A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úprava prostranství kolem bytového domu Komenského č.p. 1200 - neupravené okolí, objekty spojené s kotelnou, anglické dvorky, doplnění chodníků, úprava brány, parkování před bytovým domem z ulice U Sušírny</w:t>
      </w:r>
    </w:p>
    <w:p w14:paraId="02334980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zvážení úprav trasování a povrchů některých chodníků a cest</w:t>
      </w:r>
    </w:p>
    <w:p w14:paraId="04975A04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zvážení přesunu workoutového hřiště </w:t>
      </w:r>
      <w:r w:rsidR="00F47EDB">
        <w:rPr>
          <w:rFonts w:ascii="Calibri" w:eastAsia="Calibri" w:hAnsi="Calibri" w:cs="Calibri"/>
          <w:color w:val="000000"/>
        </w:rPr>
        <w:t xml:space="preserve">a pingpongového stolu </w:t>
      </w:r>
      <w:r>
        <w:rPr>
          <w:rFonts w:ascii="Calibri" w:eastAsia="Calibri" w:hAnsi="Calibri" w:cs="Calibri"/>
          <w:color w:val="000000"/>
        </w:rPr>
        <w:t>do jiné části parku</w:t>
      </w:r>
    </w:p>
    <w:p w14:paraId="3D650CDE" w14:textId="77777777" w:rsidR="003A50C2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doplnění dalších aktivit pro různé věkové skupiny do parku (fitness prvky pro dospělé a seniory, piknikové místo s el. grilem, apod.)</w:t>
      </w:r>
    </w:p>
    <w:p w14:paraId="68AB8112" w14:textId="77777777" w:rsidR="004B5B91" w:rsidRPr="004B5B91" w:rsidRDefault="00000000" w:rsidP="004B5B91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</w:rPr>
      </w:pPr>
      <w:r w:rsidRPr="004B5B91">
        <w:rPr>
          <w:rFonts w:ascii="Calibri" w:eastAsia="Calibri" w:hAnsi="Calibri" w:cs="Calibri"/>
          <w:color w:val="000000"/>
        </w:rPr>
        <w:t>doplnění a sjednocení vhodného mobiliáře v celém parku</w:t>
      </w:r>
      <w:bookmarkStart w:id="16" w:name="_heading=h.44sinio" w:colFirst="0" w:colLast="0"/>
      <w:bookmarkEnd w:id="16"/>
    </w:p>
    <w:p w14:paraId="168377B1" w14:textId="77777777" w:rsidR="003A50C2" w:rsidRPr="004B5B91" w:rsidRDefault="00000000" w:rsidP="004B5B91">
      <w:pPr>
        <w:pStyle w:val="Nadpis1"/>
        <w:rPr>
          <w:rFonts w:ascii="Calibri" w:eastAsia="Calibri" w:hAnsi="Calibri" w:cs="Calibri"/>
        </w:rPr>
      </w:pPr>
      <w:r w:rsidRPr="004B5B91">
        <w:rPr>
          <w:rFonts w:ascii="Calibri" w:eastAsia="Calibri" w:hAnsi="Calibri" w:cs="Calibri"/>
        </w:rPr>
        <w:lastRenderedPageBreak/>
        <w:t>ROZSAH PROJEKČNÍCH PRACÍ</w:t>
      </w:r>
    </w:p>
    <w:p w14:paraId="4C938735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52B6E826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bookmarkStart w:id="17" w:name="_heading=h.2jxsxqh" w:colFirst="0" w:colLast="0"/>
      <w:bookmarkEnd w:id="17"/>
      <w:r>
        <w:rPr>
          <w:rFonts w:ascii="Calibri" w:eastAsia="Calibri" w:hAnsi="Calibri" w:cs="Calibri"/>
          <w:color w:val="000000"/>
        </w:rPr>
        <w:t>Předmětem výběrového řízení na Zhotovitele projektové dokumentace jsou následující stupně: Studie, Povolení stavby, inženýring a Realizační projekt včetně Autorského dozoru, jejichž rozsah byl stanoven v souladu s předpokládanou etapizací v bodech 3.1 - 3.5.</w:t>
      </w:r>
    </w:p>
    <w:p w14:paraId="4DF4E939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1"/>
          <w:szCs w:val="21"/>
        </w:rPr>
      </w:pPr>
    </w:p>
    <w:p w14:paraId="47A40D5E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Architektonicko-dispoziční studie ADS </w:t>
      </w:r>
    </w:p>
    <w:p w14:paraId="7BA1AAEF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Studie řešeného území v prvotní fázi stanoví koncepci, jsou přípustné a předpokládají se variantní řešení jednotlivých částí včetně etapizace.</w:t>
      </w:r>
    </w:p>
    <w:p w14:paraId="04278039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1"/>
          <w:szCs w:val="21"/>
          <w:highlight w:val="yellow"/>
        </w:rPr>
      </w:pPr>
    </w:p>
    <w:p w14:paraId="7A6EC5AC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  <w:b w:val="0"/>
        </w:rPr>
      </w:pPr>
      <w:sdt>
        <w:sdtPr>
          <w:tag w:val="goog_rdk_3"/>
          <w:id w:val="-1259133507"/>
        </w:sdtPr>
        <w:sdtContent/>
      </w:sdt>
      <w:r>
        <w:rPr>
          <w:rFonts w:ascii="Calibri" w:eastAsia="Calibri" w:hAnsi="Calibri" w:cs="Calibri"/>
        </w:rPr>
        <w:t>Dokumentace pro povolení stavby DPS</w:t>
      </w:r>
    </w:p>
    <w:p w14:paraId="06A255D1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Předpokládá se v souvislosti s etapizací stavby členění do více samostatných řízení, tak aby nedocházelo k průtahům s povolováním jednotlivých částí. Součástí je i inženýring každé stavby nezbytný pro její povolení.</w:t>
      </w:r>
    </w:p>
    <w:p w14:paraId="1CC2EFFF" w14:textId="77777777" w:rsidR="003A50C2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Zázemí pro kulturní akce + inženýring – demolice stávajícího objektu, novostavba, související přípojky, komunikace</w:t>
      </w:r>
    </w:p>
    <w:p w14:paraId="7D7DBE88" w14:textId="77777777" w:rsidR="003A50C2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Propojení veřejných prostranství + inženýring – demolice objektu služeb, dopravní napojení areálu, okolí budovy bytového domu</w:t>
      </w:r>
    </w:p>
    <w:p w14:paraId="5C0370C0" w14:textId="77777777" w:rsidR="003A50C2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Budova bývalé školy + inženýring – stavební úpravy budovy a nejbližšího okolí</w:t>
      </w:r>
    </w:p>
    <w:p w14:paraId="0B094DA5" w14:textId="77777777" w:rsidR="003A50C2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Autobusová zastávka + inženýring – demolice stávajícího objektu, případně oplocení</w:t>
      </w:r>
    </w:p>
    <w:p w14:paraId="7EF468E3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1"/>
          <w:szCs w:val="21"/>
        </w:rPr>
      </w:pPr>
    </w:p>
    <w:p w14:paraId="0168C448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sdt>
        <w:sdtPr>
          <w:tag w:val="goog_rdk_4"/>
          <w:id w:val="-107740365"/>
        </w:sdtPr>
        <w:sdtContent>
          <w:r w:rsidR="004B5B91">
            <w:t xml:space="preserve">projektová </w:t>
          </w:r>
        </w:sdtContent>
      </w:sdt>
      <w:r w:rsidR="004B5B91">
        <w:rPr>
          <w:rFonts w:ascii="Calibri" w:eastAsia="Calibri" w:hAnsi="Calibri" w:cs="Calibri"/>
        </w:rPr>
        <w:t xml:space="preserve">dokumentace pro provedení stavby </w:t>
      </w:r>
      <w:r>
        <w:rPr>
          <w:rFonts w:ascii="Calibri" w:eastAsia="Calibri" w:hAnsi="Calibri" w:cs="Calibri"/>
        </w:rPr>
        <w:t>PDPS</w:t>
      </w:r>
    </w:p>
    <w:p w14:paraId="2B3E9C5B" w14:textId="77777777" w:rsidR="003A50C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Zázemí pro kulturní akce – realizační projekt včetně soupisu prací a rozpočtu, Autorský dozor</w:t>
      </w:r>
    </w:p>
    <w:p w14:paraId="1C010A41" w14:textId="77777777" w:rsidR="003A50C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Propojení veřejných prostranství + inženýring – realizační projekt včetně soupisu prací a rozpočtu, Autorský dozor</w:t>
      </w:r>
    </w:p>
    <w:p w14:paraId="6EF3319F" w14:textId="77777777" w:rsidR="003A50C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Budova bývalé školy + inženýring – stavební úpravy budovy a nejbližšího okolí, autorský dozor</w:t>
      </w:r>
    </w:p>
    <w:p w14:paraId="02C38655" w14:textId="77777777" w:rsidR="003A50C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Autobusová zastávka + inženýring – demolice stávajícího objektu, případně oplocení, novostavba, Autorský dozor</w:t>
      </w:r>
    </w:p>
    <w:p w14:paraId="2205136B" w14:textId="77777777" w:rsidR="003A50C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Parková zeleň a zařízení parku - realizační projekt včetně soupisu prací a rozpočtu, Autorský dozor</w:t>
      </w:r>
    </w:p>
    <w:p w14:paraId="37C6AD9D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1"/>
          <w:szCs w:val="21"/>
        </w:rPr>
      </w:pPr>
    </w:p>
    <w:p w14:paraId="5BFF444A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Mirai" w:eastAsia="Mirai" w:hAnsi="Mirai" w:cs="Mirai"/>
          <w:color w:val="000000"/>
          <w:sz w:val="21"/>
          <w:szCs w:val="21"/>
          <w:highlight w:val="yellow"/>
        </w:rPr>
      </w:pPr>
    </w:p>
    <w:p w14:paraId="6AEBA611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HARMONOGRAM PROJEKTOVÝCH PRACÍ</w:t>
      </w:r>
    </w:p>
    <w:p w14:paraId="6D4EDC8C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Jedná se o předpokládaný harmonogram projekční a inženýrské činnosti s optimálním průběhem povolování.</w:t>
      </w:r>
    </w:p>
    <w:p w14:paraId="056FE92A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31509EF0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4.1. ADS – 90 dnů od podpisu smlouvy</w:t>
      </w:r>
    </w:p>
    <w:p w14:paraId="7CEE3D3E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4.2 DPS bod a. 60 dnů + 60 dnů inženýring</w:t>
      </w:r>
    </w:p>
    <w:p w14:paraId="5AB06E7B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4.2 DPS bod b. 60 dnů + 60 dnů inženýring</w:t>
      </w:r>
    </w:p>
    <w:p w14:paraId="3D8B415F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4.2 DPS bod c. 90 dnů + 60 dnů inženýring</w:t>
      </w:r>
    </w:p>
    <w:p w14:paraId="2257A770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4.2 DPS bod d. 60 dnů + 60 dnů inženýring</w:t>
      </w:r>
    </w:p>
    <w:p w14:paraId="17BF49EF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20840BED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sdt>
        <w:sdtPr>
          <w:tag w:val="goog_rdk_5"/>
          <w:id w:val="2053969240"/>
        </w:sdtPr>
        <w:sdtContent/>
      </w:sdt>
      <w:r>
        <w:rPr>
          <w:rFonts w:ascii="Calibri" w:eastAsia="Calibri" w:hAnsi="Calibri" w:cs="Calibri"/>
          <w:color w:val="000000"/>
        </w:rPr>
        <w:t>4.3 PDPS bod a. 60 dnů + AD</w:t>
      </w:r>
    </w:p>
    <w:p w14:paraId="04CA3C1F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4.3 PDPS bod b. 60 dnů + AD</w:t>
      </w:r>
    </w:p>
    <w:p w14:paraId="5D712D81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4.3 PDPS bod c. 90 dnů + AD</w:t>
      </w:r>
    </w:p>
    <w:p w14:paraId="59EB8933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4.3 PDPS bod d. 60 dnů + AD</w:t>
      </w:r>
    </w:p>
    <w:p w14:paraId="3BFB537A" w14:textId="77777777" w:rsidR="003A50C2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4.3 PDPS bod e. 60 dnů + AD</w:t>
      </w:r>
    </w:p>
    <w:p w14:paraId="33BE4304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251DC62C" w14:textId="77777777" w:rsidR="003A50C2" w:rsidRDefault="00000000">
      <w:pPr>
        <w:pStyle w:val="Nadpis2"/>
        <w:numPr>
          <w:ilvl w:val="1"/>
          <w:numId w:val="1"/>
        </w:num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Výše investičních nákladů</w:t>
      </w:r>
    </w:p>
    <w:p w14:paraId="02485809" w14:textId="77777777" w:rsidR="003A50C2" w:rsidRDefault="00000000">
      <w:pPr>
        <w:rPr>
          <w:rFonts w:ascii="Calibri" w:eastAsia="Calibri" w:hAnsi="Calibri" w:cs="Calibri"/>
          <w:i/>
        </w:rPr>
      </w:pPr>
      <w:r>
        <w:rPr>
          <w:rFonts w:ascii="Calibri" w:eastAsia="Calibri" w:hAnsi="Calibri" w:cs="Calibri"/>
        </w:rPr>
        <w:t xml:space="preserve">V rámci přípravy zadání byl stanoven hrubý odhad výše investičních nákladů v členění dle jednotlivých částí stavebního programu a etapizace viz příloha </w:t>
      </w:r>
      <w:r>
        <w:rPr>
          <w:rFonts w:ascii="Calibri" w:eastAsia="Calibri" w:hAnsi="Calibri" w:cs="Calibri"/>
          <w:i/>
        </w:rPr>
        <w:t>P01 Odhad investičních nákladů</w:t>
      </w:r>
    </w:p>
    <w:p w14:paraId="2C6600C7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Mirai" w:eastAsia="Mirai" w:hAnsi="Mirai" w:cs="Mirai"/>
          <w:color w:val="000000"/>
          <w:highlight w:val="yellow"/>
        </w:rPr>
      </w:pPr>
    </w:p>
    <w:p w14:paraId="60388BEA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Mirai" w:eastAsia="Mirai" w:hAnsi="Mirai" w:cs="Mirai"/>
          <w:color w:val="000000"/>
          <w:highlight w:val="yellow"/>
        </w:rPr>
      </w:pPr>
    </w:p>
    <w:p w14:paraId="745C74A2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19F368E2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</w:rPr>
      </w:pPr>
    </w:p>
    <w:p w14:paraId="2A0B6DA9" w14:textId="77777777" w:rsidR="003A50C2" w:rsidRDefault="003A50C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FF0000"/>
          <w:sz w:val="21"/>
          <w:szCs w:val="21"/>
        </w:rPr>
      </w:pPr>
    </w:p>
    <w:sectPr w:rsidR="003A50C2" w:rsidSect="00F65378">
      <w:headerReference w:type="default" r:id="rId13"/>
      <w:footerReference w:type="default" r:id="rId14"/>
      <w:pgSz w:w="11906" w:h="16838"/>
      <w:pgMar w:top="1700" w:right="1134" w:bottom="1418" w:left="1134" w:header="1134" w:footer="113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232C2E" w14:textId="77777777" w:rsidR="00F65378" w:rsidRDefault="00F65378">
      <w:r>
        <w:separator/>
      </w:r>
    </w:p>
  </w:endnote>
  <w:endnote w:type="continuationSeparator" w:id="0">
    <w:p w14:paraId="3CE30AA4" w14:textId="77777777" w:rsidR="00F65378" w:rsidRDefault="00F65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Liberation Serif">
    <w:altName w:val="Times New Roman"/>
    <w:charset w:val="00"/>
    <w:family w:val="auto"/>
    <w:pitch w:val="default"/>
  </w:font>
  <w:font w:name="Mirai">
    <w:altName w:val="Calibri"/>
    <w:charset w:val="00"/>
    <w:family w:val="auto"/>
    <w:pitch w:val="default"/>
  </w:font>
  <w:font w:name="Liberation Sans"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B2236B" w14:textId="77777777" w:rsidR="003A50C2" w:rsidRDefault="00000000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Mirai" w:eastAsia="Mirai" w:hAnsi="Mirai" w:cs="Mirai"/>
        <w:color w:val="000000"/>
        <w:sz w:val="16"/>
        <w:szCs w:val="16"/>
      </w:rPr>
    </w:pPr>
    <w:r>
      <w:rPr>
        <w:rFonts w:ascii="Mirai" w:eastAsia="Mirai" w:hAnsi="Mirai" w:cs="Mirai"/>
        <w:color w:val="000000"/>
        <w:sz w:val="16"/>
        <w:szCs w:val="16"/>
      </w:rPr>
      <w:fldChar w:fldCharType="begin"/>
    </w:r>
    <w:r>
      <w:rPr>
        <w:rFonts w:ascii="Mirai" w:eastAsia="Mirai" w:hAnsi="Mirai" w:cs="Mirai"/>
        <w:color w:val="000000"/>
        <w:sz w:val="16"/>
        <w:szCs w:val="16"/>
      </w:rPr>
      <w:instrText>PAGE</w:instrText>
    </w:r>
    <w:r>
      <w:rPr>
        <w:rFonts w:ascii="Mirai" w:eastAsia="Mirai" w:hAnsi="Mirai" w:cs="Mirai"/>
        <w:color w:val="000000"/>
        <w:sz w:val="16"/>
        <w:szCs w:val="16"/>
      </w:rPr>
      <w:fldChar w:fldCharType="separate"/>
    </w:r>
    <w:r w:rsidR="004B5B91">
      <w:rPr>
        <w:rFonts w:ascii="Mirai" w:eastAsia="Mirai" w:hAnsi="Mirai" w:cs="Mirai"/>
        <w:noProof/>
        <w:color w:val="000000"/>
        <w:sz w:val="16"/>
        <w:szCs w:val="16"/>
      </w:rPr>
      <w:t>1</w:t>
    </w:r>
    <w:r>
      <w:rPr>
        <w:rFonts w:ascii="Mirai" w:eastAsia="Mirai" w:hAnsi="Mirai" w:cs="Mirai"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F3B22F" w14:textId="77777777" w:rsidR="00F65378" w:rsidRDefault="00F65378">
      <w:r>
        <w:separator/>
      </w:r>
    </w:p>
  </w:footnote>
  <w:footnote w:type="continuationSeparator" w:id="0">
    <w:p w14:paraId="75FF1647" w14:textId="77777777" w:rsidR="00F65378" w:rsidRDefault="00F653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93A183" w14:textId="77777777" w:rsidR="003A50C2" w:rsidRDefault="00000000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585"/>
      </w:tabs>
      <w:rPr>
        <w:rFonts w:ascii="Calibri" w:eastAsia="Calibri" w:hAnsi="Calibri" w:cs="Calibri"/>
        <w:color w:val="000000"/>
        <w:sz w:val="20"/>
        <w:szCs w:val="20"/>
      </w:rPr>
    </w:pPr>
    <w:r>
      <w:rPr>
        <w:rFonts w:ascii="Calibri" w:eastAsia="Calibri" w:hAnsi="Calibri" w:cs="Calibri"/>
        <w:color w:val="000000"/>
        <w:sz w:val="20"/>
        <w:szCs w:val="20"/>
      </w:rPr>
      <w:t>Revitalizace budovy bývalé školy a parku v Předklášteří</w:t>
    </w:r>
    <w:r>
      <w:rPr>
        <w:rFonts w:ascii="Calibri" w:eastAsia="Calibri" w:hAnsi="Calibri" w:cs="Calibri"/>
        <w:color w:val="000000"/>
        <w:sz w:val="20"/>
        <w:szCs w:val="20"/>
      </w:rPr>
      <w:tab/>
    </w:r>
    <w:r>
      <w:rPr>
        <w:rFonts w:ascii="Calibri" w:eastAsia="Calibri" w:hAnsi="Calibri" w:cs="Calibri"/>
        <w:color w:val="000000"/>
        <w:sz w:val="20"/>
        <w:szCs w:val="20"/>
      </w:rPr>
      <w:tab/>
    </w:r>
    <w:r>
      <w:rPr>
        <w:rFonts w:ascii="Calibri" w:eastAsia="Calibri" w:hAnsi="Calibri" w:cs="Calibri"/>
        <w:b/>
        <w:color w:val="000000"/>
        <w:sz w:val="20"/>
        <w:szCs w:val="20"/>
      </w:rPr>
      <w:t>P01 Zadání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941DE6"/>
    <w:multiLevelType w:val="multilevel"/>
    <w:tmpl w:val="806C3CD2"/>
    <w:lvl w:ilvl="0">
      <w:start w:val="1"/>
      <w:numFmt w:val="decimal"/>
      <w:lvlText w:val=" %1 |"/>
      <w:lvlJc w:val="left"/>
      <w:pPr>
        <w:ind w:left="0" w:firstLine="0"/>
      </w:pPr>
    </w:lvl>
    <w:lvl w:ilvl="1">
      <w:start w:val="1"/>
      <w:numFmt w:val="decimal"/>
      <w:lvlText w:val=" %1.%2 |"/>
      <w:lvlJc w:val="left"/>
      <w:pPr>
        <w:ind w:left="0" w:firstLine="0"/>
      </w:pPr>
    </w:lvl>
    <w:lvl w:ilvl="2">
      <w:start w:val="1"/>
      <w:numFmt w:val="decimal"/>
      <w:lvlText w:val=" %1.%2.%3 |"/>
      <w:lvlJc w:val="left"/>
      <w:pPr>
        <w:ind w:left="0" w:firstLine="0"/>
      </w:pPr>
    </w:lvl>
    <w:lvl w:ilvl="3">
      <w:start w:val="1"/>
      <w:numFmt w:val="lowerLetter"/>
      <w:lvlText w:val=" %4 |"/>
      <w:lvlJc w:val="left"/>
      <w:pPr>
        <w:ind w:left="0" w:firstLine="0"/>
      </w:pPr>
      <w:rPr>
        <w:b/>
      </w:rPr>
    </w:lvl>
    <w:lvl w:ilvl="4">
      <w:start w:val="1"/>
      <w:numFmt w:val="decimal"/>
      <w:lvlText w:val=" %1.%2.%3.%4.%5 |"/>
      <w:lvlJc w:val="left"/>
      <w:pPr>
        <w:ind w:left="0" w:firstLine="0"/>
      </w:pPr>
      <w:rPr>
        <w:b/>
      </w:rPr>
    </w:lvl>
    <w:lvl w:ilvl="5">
      <w:start w:val="1"/>
      <w:numFmt w:val="decimal"/>
      <w:lvlText w:val=" %1.%2.%3.%4.%5.%6 "/>
      <w:lvlJc w:val="left"/>
      <w:pPr>
        <w:ind w:left="0" w:firstLine="0"/>
      </w:pPr>
    </w:lvl>
    <w:lvl w:ilvl="6">
      <w:start w:val="1"/>
      <w:numFmt w:val="decimal"/>
      <w:lvlText w:val=" %1.%2.%3.%4.%5.%6.%7 "/>
      <w:lvlJc w:val="left"/>
      <w:pPr>
        <w:ind w:left="0" w:firstLine="0"/>
      </w:pPr>
    </w:lvl>
    <w:lvl w:ilvl="7">
      <w:start w:val="1"/>
      <w:numFmt w:val="decimal"/>
      <w:lvlText w:val=" %1.%2.%3.%4.%5.%6.%7.%8 "/>
      <w:lvlJc w:val="left"/>
      <w:pPr>
        <w:ind w:left="0" w:firstLine="0"/>
      </w:pPr>
    </w:lvl>
    <w:lvl w:ilvl="8">
      <w:start w:val="1"/>
      <w:numFmt w:val="decimal"/>
      <w:lvlText w:val=" %1.%2.%3.%4.%5.%6.%7.%8.%9 "/>
      <w:lvlJc w:val="left"/>
      <w:pPr>
        <w:ind w:left="0" w:firstLine="0"/>
      </w:pPr>
    </w:lvl>
  </w:abstractNum>
  <w:abstractNum w:abstractNumId="1" w15:restartNumberingAfterBreak="0">
    <w:nsid w:val="1D6A1BFC"/>
    <w:multiLevelType w:val="multilevel"/>
    <w:tmpl w:val="9DD68CA2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CCA0A67"/>
    <w:multiLevelType w:val="multilevel"/>
    <w:tmpl w:val="6084255C"/>
    <w:lvl w:ilvl="0">
      <w:start w:val="1"/>
      <w:numFmt w:val="decimal"/>
      <w:pStyle w:val="Nadpis1"/>
      <w:lvlText w:val=" %1 |"/>
      <w:lvlJc w:val="left"/>
      <w:pPr>
        <w:ind w:left="0" w:firstLine="0"/>
      </w:pPr>
    </w:lvl>
    <w:lvl w:ilvl="1">
      <w:start w:val="1"/>
      <w:numFmt w:val="decimal"/>
      <w:lvlText w:val=" %1.%2 |"/>
      <w:lvlJc w:val="left"/>
      <w:pPr>
        <w:ind w:left="0" w:firstLine="0"/>
      </w:pPr>
      <w:rPr>
        <w:b/>
        <w:sz w:val="24"/>
        <w:szCs w:val="24"/>
      </w:rPr>
    </w:lvl>
    <w:lvl w:ilvl="2">
      <w:start w:val="1"/>
      <w:numFmt w:val="decimal"/>
      <w:pStyle w:val="Nadpis3"/>
      <w:lvlText w:val=" %1.%2.%3 |"/>
      <w:lvlJc w:val="left"/>
      <w:pPr>
        <w:ind w:left="0" w:firstLine="0"/>
      </w:pPr>
    </w:lvl>
    <w:lvl w:ilvl="3">
      <w:start w:val="1"/>
      <w:numFmt w:val="lowerLetter"/>
      <w:lvlText w:val=" %4 |"/>
      <w:lvlJc w:val="left"/>
      <w:pPr>
        <w:ind w:left="0" w:firstLine="0"/>
      </w:pPr>
      <w:rPr>
        <w:b/>
      </w:rPr>
    </w:lvl>
    <w:lvl w:ilvl="4">
      <w:start w:val="1"/>
      <w:numFmt w:val="decimal"/>
      <w:lvlText w:val=" %1.%2.%3.%4.%5 |"/>
      <w:lvlJc w:val="left"/>
      <w:pPr>
        <w:ind w:left="0" w:firstLine="0"/>
      </w:pPr>
      <w:rPr>
        <w:b/>
      </w:rPr>
    </w:lvl>
    <w:lvl w:ilvl="5">
      <w:start w:val="1"/>
      <w:numFmt w:val="decimal"/>
      <w:lvlText w:val=" %1.%2.%3.%4.%5.%6 "/>
      <w:lvlJc w:val="left"/>
      <w:pPr>
        <w:ind w:left="0" w:firstLine="0"/>
      </w:pPr>
    </w:lvl>
    <w:lvl w:ilvl="6">
      <w:start w:val="1"/>
      <w:numFmt w:val="decimal"/>
      <w:lvlText w:val=" %1.%2.%3.%4.%5.%6.%7 "/>
      <w:lvlJc w:val="left"/>
      <w:pPr>
        <w:ind w:left="0" w:firstLine="0"/>
      </w:pPr>
    </w:lvl>
    <w:lvl w:ilvl="7">
      <w:start w:val="1"/>
      <w:numFmt w:val="decimal"/>
      <w:lvlText w:val=" %1.%2.%3.%4.%5.%6.%7.%8 "/>
      <w:lvlJc w:val="left"/>
      <w:pPr>
        <w:ind w:left="0" w:firstLine="0"/>
      </w:pPr>
    </w:lvl>
    <w:lvl w:ilvl="8">
      <w:start w:val="1"/>
      <w:numFmt w:val="decimal"/>
      <w:lvlText w:val=" %1.%2.%3.%4.%5.%6.%7.%8.%9 "/>
      <w:lvlJc w:val="left"/>
      <w:pPr>
        <w:ind w:left="0" w:firstLine="0"/>
      </w:pPr>
    </w:lvl>
  </w:abstractNum>
  <w:abstractNum w:abstractNumId="3" w15:restartNumberingAfterBreak="0">
    <w:nsid w:val="2FED4649"/>
    <w:multiLevelType w:val="multilevel"/>
    <w:tmpl w:val="3FAAD6CA"/>
    <w:lvl w:ilvl="0">
      <w:start w:val="423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D855A18"/>
    <w:multiLevelType w:val="multilevel"/>
    <w:tmpl w:val="2946BF68"/>
    <w:lvl w:ilvl="0"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numFmt w:val="bullet"/>
      <w:lvlText w:val="•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numFmt w:val="bullet"/>
      <w:lvlText w:val="•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F375158"/>
    <w:multiLevelType w:val="multilevel"/>
    <w:tmpl w:val="C074A6C0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20F4C8C"/>
    <w:multiLevelType w:val="multilevel"/>
    <w:tmpl w:val="C346E5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802309276">
    <w:abstractNumId w:val="2"/>
  </w:num>
  <w:num w:numId="2" w16cid:durableId="1960408742">
    <w:abstractNumId w:val="5"/>
  </w:num>
  <w:num w:numId="3" w16cid:durableId="260995235">
    <w:abstractNumId w:val="0"/>
  </w:num>
  <w:num w:numId="4" w16cid:durableId="2087652354">
    <w:abstractNumId w:val="4"/>
  </w:num>
  <w:num w:numId="5" w16cid:durableId="1884053148">
    <w:abstractNumId w:val="3"/>
  </w:num>
  <w:num w:numId="6" w16cid:durableId="2031753780">
    <w:abstractNumId w:val="1"/>
  </w:num>
  <w:num w:numId="7" w16cid:durableId="28650338">
    <w:abstractNumId w:val="6"/>
  </w:num>
  <w:num w:numId="8" w16cid:durableId="1483282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5015314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659107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42052409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35863211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2506928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036929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50C2"/>
    <w:rsid w:val="003A50C2"/>
    <w:rsid w:val="004B5B91"/>
    <w:rsid w:val="008D30C6"/>
    <w:rsid w:val="00D82B9E"/>
    <w:rsid w:val="00F47EDB"/>
    <w:rsid w:val="00F65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9798CC"/>
  <w15:docId w15:val="{E063ED24-4B7B-45F8-A596-8B9A663D2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Liberation Serif" w:eastAsia="Liberation Serif" w:hAnsi="Liberation Serif" w:cs="Liberation Serif"/>
        <w:sz w:val="24"/>
        <w:szCs w:val="24"/>
        <w:lang w:val="cs-CZ" w:eastAsia="cs-CZ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</w:style>
  <w:style w:type="paragraph" w:styleId="Nadpis1">
    <w:name w:val="heading 1"/>
    <w:basedOn w:val="Heading"/>
    <w:next w:val="Textbodyuser"/>
    <w:link w:val="Nadpis1Char"/>
    <w:uiPriority w:val="9"/>
    <w:qFormat/>
    <w:pPr>
      <w:pageBreakBefore/>
      <w:numPr>
        <w:numId w:val="1"/>
      </w:numPr>
      <w:spacing w:before="142" w:after="57"/>
      <w:outlineLvl w:val="0"/>
    </w:pPr>
    <w:rPr>
      <w:rFonts w:ascii="Mirai" w:eastAsia="Mirai" w:hAnsi="Mirai" w:cs="Mirai"/>
      <w:b/>
      <w:bCs/>
      <w:caps/>
      <w:sz w:val="60"/>
    </w:rPr>
  </w:style>
  <w:style w:type="paragraph" w:styleId="Nadpis2">
    <w:name w:val="heading 2"/>
    <w:basedOn w:val="Heading"/>
    <w:next w:val="Textbodyuser"/>
    <w:link w:val="Nadpis2Char"/>
    <w:uiPriority w:val="9"/>
    <w:unhideWhenUsed/>
    <w:qFormat/>
    <w:pPr>
      <w:keepNext w:val="0"/>
      <w:spacing w:before="200" w:after="0"/>
      <w:outlineLvl w:val="1"/>
    </w:pPr>
    <w:rPr>
      <w:rFonts w:ascii="Mirai" w:eastAsia="Mirai" w:hAnsi="Mirai" w:cs="Mirai"/>
      <w:b/>
      <w:bCs/>
      <w:caps/>
      <w:sz w:val="24"/>
    </w:rPr>
  </w:style>
  <w:style w:type="paragraph" w:styleId="Nadpis3">
    <w:name w:val="heading 3"/>
    <w:basedOn w:val="Heading"/>
    <w:next w:val="Textbodyuser"/>
    <w:uiPriority w:val="9"/>
    <w:semiHidden/>
    <w:unhideWhenUsed/>
    <w:qFormat/>
    <w:pPr>
      <w:numPr>
        <w:ilvl w:val="2"/>
        <w:numId w:val="1"/>
      </w:numPr>
      <w:spacing w:before="113" w:after="28"/>
      <w:outlineLvl w:val="2"/>
    </w:pPr>
    <w:rPr>
      <w:rFonts w:ascii="Mirai" w:eastAsia="Mirai" w:hAnsi="Mirai" w:cs="Mirai"/>
      <w:b/>
      <w:bCs/>
      <w:sz w:val="21"/>
    </w:rPr>
  </w:style>
  <w:style w:type="paragraph" w:styleId="Nadpis4">
    <w:name w:val="heading 4"/>
    <w:basedOn w:val="Heading"/>
    <w:next w:val="Textbody"/>
    <w:uiPriority w:val="9"/>
    <w:semiHidden/>
    <w:unhideWhenUsed/>
    <w:qFormat/>
    <w:pPr>
      <w:keepNext w:val="0"/>
      <w:spacing w:before="0" w:after="113"/>
      <w:outlineLvl w:val="3"/>
    </w:pPr>
    <w:rPr>
      <w:rFonts w:ascii="Mirai" w:eastAsia="Mirai" w:hAnsi="Mirai" w:cs="Mirai"/>
      <w:b/>
      <w:bCs/>
      <w:i/>
      <w:iCs/>
      <w:sz w:val="21"/>
    </w:rPr>
  </w:style>
  <w:style w:type="paragraph" w:styleId="Nadpis5">
    <w:name w:val="heading 5"/>
    <w:basedOn w:val="Heading"/>
    <w:next w:val="Textbody"/>
    <w:uiPriority w:val="9"/>
    <w:semiHidden/>
    <w:unhideWhenUsed/>
    <w:qFormat/>
    <w:pPr>
      <w:spacing w:before="120" w:after="60"/>
      <w:outlineLvl w:val="4"/>
    </w:pPr>
    <w:rPr>
      <w:rFonts w:ascii="Mirai" w:eastAsia="Mirai" w:hAnsi="Mirai" w:cs="Mirai"/>
      <w:b/>
      <w:bCs/>
      <w:sz w:val="21"/>
    </w:rPr>
  </w:style>
  <w:style w:type="paragraph" w:styleId="Nadpis6">
    <w:name w:val="heading 6"/>
    <w:basedOn w:val="Heading"/>
    <w:next w:val="Textbody"/>
    <w:uiPriority w:val="9"/>
    <w:semiHidden/>
    <w:unhideWhenUsed/>
    <w:qFormat/>
    <w:pPr>
      <w:spacing w:before="60" w:after="60"/>
      <w:outlineLvl w:val="5"/>
    </w:pPr>
    <w:rPr>
      <w:b/>
      <w:bCs/>
      <w:i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numbering" w:customStyle="1" w:styleId="Outline">
    <w:name w:val="Outline"/>
    <w:basedOn w:val="Bezseznamu"/>
  </w:style>
  <w:style w:type="paragraph" w:customStyle="1" w:styleId="Standard">
    <w:name w:val="Standard"/>
    <w:pPr>
      <w:widowControl/>
      <w:suppressAutoHyphens/>
    </w:pPr>
  </w:style>
  <w:style w:type="paragraph" w:customStyle="1" w:styleId="Heading">
    <w:name w:val="Heading"/>
    <w:next w:val="Textbodyuser"/>
    <w:pPr>
      <w:keepNext/>
      <w:widowControl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Seznam">
    <w:name w:val="List"/>
    <w:pPr>
      <w:widowControl/>
      <w:suppressAutoHyphens/>
    </w:pPr>
  </w:style>
  <w:style w:type="paragraph" w:styleId="Titulek">
    <w:name w:val="caption"/>
    <w:basedOn w:val="Standard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Index">
    <w:name w:val="Index"/>
    <w:pPr>
      <w:widowControl/>
      <w:suppressLineNumbers/>
      <w:suppressAutoHyphens/>
    </w:pPr>
    <w:rPr>
      <w:rFonts w:ascii="Mirai" w:eastAsia="Mirai" w:hAnsi="Mirai" w:cs="Mirai"/>
      <w:caps/>
      <w:sz w:val="21"/>
    </w:rPr>
  </w:style>
  <w:style w:type="paragraph" w:customStyle="1" w:styleId="Textbodyuser">
    <w:name w:val="Text body (user)"/>
    <w:pPr>
      <w:suppressAutoHyphens/>
    </w:pPr>
    <w:rPr>
      <w:rFonts w:ascii="Mirai" w:eastAsia="Mirai" w:hAnsi="Mirai" w:cs="Mirai"/>
      <w:sz w:val="21"/>
    </w:rPr>
  </w:style>
  <w:style w:type="paragraph" w:customStyle="1" w:styleId="Text">
    <w:name w:val="Text"/>
    <w:basedOn w:val="Titulek"/>
  </w:style>
  <w:style w:type="paragraph" w:customStyle="1" w:styleId="TableContents">
    <w:name w:val="Table Contents"/>
    <w:pPr>
      <w:suppressLineNumbers/>
      <w:suppressAutoHyphen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Textbubliny">
    <w:name w:val="Balloon Text"/>
    <w:basedOn w:val="Standard"/>
    <w:rPr>
      <w:rFonts w:ascii="Segoe UI" w:eastAsia="Segoe UI" w:hAnsi="Segoe UI" w:cs="Mangal"/>
      <w:sz w:val="18"/>
      <w:szCs w:val="16"/>
    </w:rPr>
  </w:style>
  <w:style w:type="paragraph" w:customStyle="1" w:styleId="HeaderandFooter">
    <w:name w:val="Header and Footer"/>
    <w:basedOn w:val="Standard"/>
    <w:pPr>
      <w:suppressLineNumbers/>
      <w:tabs>
        <w:tab w:val="center" w:pos="4819"/>
        <w:tab w:val="right" w:pos="9638"/>
      </w:tabs>
    </w:pPr>
  </w:style>
  <w:style w:type="paragraph" w:styleId="Zhlav">
    <w:name w:val="header"/>
    <w:basedOn w:val="Standard"/>
    <w:pPr>
      <w:tabs>
        <w:tab w:val="center" w:pos="4536"/>
        <w:tab w:val="right" w:pos="9072"/>
      </w:tabs>
    </w:pPr>
    <w:rPr>
      <w:rFonts w:ascii="Mirai" w:eastAsia="Mirai" w:hAnsi="Mirai" w:cs="Mangal"/>
      <w:sz w:val="16"/>
      <w:szCs w:val="21"/>
    </w:rPr>
  </w:style>
  <w:style w:type="paragraph" w:styleId="Zpat">
    <w:name w:val="footer"/>
    <w:basedOn w:val="Standard"/>
    <w:pPr>
      <w:tabs>
        <w:tab w:val="center" w:pos="4536"/>
        <w:tab w:val="right" w:pos="9072"/>
      </w:tabs>
    </w:pPr>
    <w:rPr>
      <w:rFonts w:ascii="Mirai" w:eastAsia="Mirai" w:hAnsi="Mirai" w:cs="Mangal"/>
      <w:sz w:val="16"/>
      <w:szCs w:val="21"/>
    </w:rPr>
  </w:style>
  <w:style w:type="paragraph" w:styleId="Textkomente">
    <w:name w:val="annotation text"/>
    <w:basedOn w:val="Standard"/>
    <w:uiPriority w:val="99"/>
    <w:rPr>
      <w:rFonts w:cs="Mangal"/>
      <w:sz w:val="20"/>
      <w:szCs w:val="18"/>
    </w:rPr>
  </w:style>
  <w:style w:type="paragraph" w:styleId="Pedmtkomente">
    <w:name w:val="annotation subject"/>
    <w:basedOn w:val="Textkomente"/>
    <w:next w:val="Textkomente"/>
    <w:rPr>
      <w:b/>
      <w:bCs/>
    </w:rPr>
  </w:style>
  <w:style w:type="paragraph" w:styleId="Hlavikarejstku">
    <w:name w:val="index heading"/>
    <w:basedOn w:val="Heading"/>
    <w:pPr>
      <w:suppressLineNumbers/>
    </w:pPr>
    <w:rPr>
      <w:b/>
      <w:bCs/>
      <w:sz w:val="32"/>
      <w:szCs w:val="32"/>
    </w:rPr>
  </w:style>
  <w:style w:type="paragraph" w:customStyle="1" w:styleId="ContentsHeading">
    <w:name w:val="Contents Heading"/>
    <w:basedOn w:val="Heading"/>
    <w:pPr>
      <w:suppressLineNumbers/>
    </w:pPr>
    <w:rPr>
      <w:b/>
      <w:bCs/>
      <w:sz w:val="32"/>
      <w:szCs w:val="32"/>
    </w:rPr>
  </w:style>
  <w:style w:type="paragraph" w:customStyle="1" w:styleId="Contents1">
    <w:name w:val="Contents 1"/>
    <w:basedOn w:val="Index"/>
    <w:pPr>
      <w:tabs>
        <w:tab w:val="right" w:leader="dot" w:pos="9638"/>
      </w:tabs>
    </w:pPr>
  </w:style>
  <w:style w:type="paragraph" w:customStyle="1" w:styleId="Contents2">
    <w:name w:val="Contents 2"/>
    <w:basedOn w:val="Index"/>
    <w:pPr>
      <w:tabs>
        <w:tab w:val="right" w:leader="dot" w:pos="9638"/>
      </w:tabs>
      <w:ind w:left="283"/>
    </w:pPr>
  </w:style>
  <w:style w:type="paragraph" w:customStyle="1" w:styleId="Contents3">
    <w:name w:val="Contents 3"/>
    <w:basedOn w:val="Index"/>
    <w:pPr>
      <w:tabs>
        <w:tab w:val="right" w:leader="dot" w:pos="9638"/>
      </w:tabs>
      <w:ind w:left="566"/>
    </w:pPr>
  </w:style>
  <w:style w:type="paragraph" w:styleId="Bezmezer">
    <w:name w:val="No Spacing"/>
    <w:pPr>
      <w:widowControl/>
      <w:suppressAutoHyphens/>
    </w:pPr>
    <w:rPr>
      <w:rFonts w:ascii="Calibri" w:eastAsia="Calibri" w:hAnsi="Calibri" w:cs="Times New Roman"/>
      <w:sz w:val="22"/>
      <w:szCs w:val="22"/>
    </w:rPr>
  </w:style>
  <w:style w:type="paragraph" w:customStyle="1" w:styleId="Pa4">
    <w:name w:val="Pa4"/>
    <w:pPr>
      <w:spacing w:line="201" w:lineRule="atLeast"/>
    </w:pPr>
  </w:style>
  <w:style w:type="paragraph" w:customStyle="1" w:styleId="Default">
    <w:name w:val="Default"/>
    <w:pPr>
      <w:widowControl/>
      <w:suppressAutoHyphens/>
      <w:autoSpaceDE w:val="0"/>
    </w:pPr>
    <w:rPr>
      <w:rFonts w:ascii="Mirai" w:eastAsia="Calibri" w:hAnsi="Mirai" w:cs="Tahoma"/>
      <w:color w:val="000000"/>
    </w:rPr>
  </w:style>
  <w:style w:type="paragraph" w:styleId="Odstavecseseznamem">
    <w:name w:val="List Paragraph"/>
    <w:basedOn w:val="Standard"/>
    <w:pPr>
      <w:ind w:left="1257" w:hanging="284"/>
    </w:pPr>
    <w:rPr>
      <w:rFonts w:ascii="Mirai" w:eastAsia="Mirai" w:hAnsi="Mirai" w:cs="Mirai"/>
    </w:rPr>
  </w:style>
  <w:style w:type="character" w:customStyle="1" w:styleId="Internetlinkuser">
    <w:name w:val="Internet link (user)"/>
    <w:rPr>
      <w:color w:val="000080"/>
      <w:u w:val="single"/>
    </w:rPr>
  </w:style>
  <w:style w:type="character" w:customStyle="1" w:styleId="NumberingSymbols">
    <w:name w:val="Numbering Symbols"/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StrongEmphasis">
    <w:name w:val="Strong Emphasis"/>
    <w:rPr>
      <w:b/>
      <w:bCs/>
    </w:rPr>
  </w:style>
  <w:style w:type="character" w:styleId="Siln">
    <w:name w:val="Strong"/>
    <w:basedOn w:val="Standardnpsmoodstavce"/>
    <w:rPr>
      <w:b/>
      <w:bCs/>
    </w:rPr>
  </w:style>
  <w:style w:type="character" w:customStyle="1" w:styleId="TextbublinyChar">
    <w:name w:val="Text bubliny Char"/>
    <w:basedOn w:val="Standardnpsmoodstavce"/>
    <w:rPr>
      <w:rFonts w:ascii="Segoe UI" w:eastAsia="Segoe UI" w:hAnsi="Segoe UI" w:cs="Mangal"/>
      <w:sz w:val="18"/>
      <w:szCs w:val="16"/>
    </w:rPr>
  </w:style>
  <w:style w:type="character" w:customStyle="1" w:styleId="ZhlavChar">
    <w:name w:val="Záhlaví Char"/>
    <w:basedOn w:val="Standardnpsmoodstavce"/>
    <w:rPr>
      <w:rFonts w:cs="Mangal"/>
      <w:szCs w:val="21"/>
    </w:rPr>
  </w:style>
  <w:style w:type="character" w:customStyle="1" w:styleId="ZpatChar">
    <w:name w:val="Zápatí Char"/>
    <w:basedOn w:val="Standardnpsmoodstavce"/>
    <w:rPr>
      <w:rFonts w:cs="Mangal"/>
      <w:szCs w:val="21"/>
    </w:rPr>
  </w:style>
  <w:style w:type="character" w:customStyle="1" w:styleId="ListLabel1">
    <w:name w:val="ListLabel 1"/>
    <w:rPr>
      <w:rFonts w:eastAsia="OpenSymbol" w:cs="OpenSymbol"/>
    </w:rPr>
  </w:style>
  <w:style w:type="character" w:customStyle="1" w:styleId="ListLabel2">
    <w:name w:val="ListLabel 2"/>
    <w:rPr>
      <w:rFonts w:eastAsia="OpenSymbol" w:cs="OpenSymbol"/>
    </w:rPr>
  </w:style>
  <w:style w:type="character" w:customStyle="1" w:styleId="ListLabel3">
    <w:name w:val="ListLabel 3"/>
    <w:rPr>
      <w:rFonts w:eastAsia="OpenSymbol" w:cs="OpenSymbol"/>
    </w:rPr>
  </w:style>
  <w:style w:type="character" w:customStyle="1" w:styleId="ListLabel4">
    <w:name w:val="ListLabel 4"/>
    <w:rPr>
      <w:rFonts w:eastAsia="OpenSymbol" w:cs="OpenSymbol"/>
    </w:rPr>
  </w:style>
  <w:style w:type="character" w:customStyle="1" w:styleId="ListLabel5">
    <w:name w:val="ListLabel 5"/>
    <w:rPr>
      <w:rFonts w:eastAsia="OpenSymbol" w:cs="OpenSymbol"/>
    </w:rPr>
  </w:style>
  <w:style w:type="character" w:customStyle="1" w:styleId="ListLabel6">
    <w:name w:val="ListLabel 6"/>
    <w:rPr>
      <w:rFonts w:eastAsia="OpenSymbol" w:cs="OpenSymbol"/>
    </w:rPr>
  </w:style>
  <w:style w:type="character" w:customStyle="1" w:styleId="ListLabel7">
    <w:name w:val="ListLabel 7"/>
    <w:rPr>
      <w:rFonts w:eastAsia="OpenSymbol" w:cs="OpenSymbol"/>
    </w:rPr>
  </w:style>
  <w:style w:type="character" w:customStyle="1" w:styleId="ListLabel8">
    <w:name w:val="ListLabel 8"/>
    <w:rPr>
      <w:rFonts w:eastAsia="OpenSymbol" w:cs="OpenSymbol"/>
    </w:rPr>
  </w:style>
  <w:style w:type="character" w:customStyle="1" w:styleId="ListLabel9">
    <w:name w:val="ListLabel 9"/>
    <w:rPr>
      <w:rFonts w:eastAsia="OpenSymbol" w:cs="OpenSymbol"/>
    </w:rPr>
  </w:style>
  <w:style w:type="character" w:customStyle="1" w:styleId="ListLabel10">
    <w:name w:val="ListLabel 10"/>
    <w:rPr>
      <w:rFonts w:eastAsia="OpenSymbol" w:cs="OpenSymbol"/>
    </w:rPr>
  </w:style>
  <w:style w:type="character" w:customStyle="1" w:styleId="ListLabel11">
    <w:name w:val="ListLabel 11"/>
    <w:rPr>
      <w:rFonts w:eastAsia="OpenSymbol" w:cs="OpenSymbol"/>
    </w:rPr>
  </w:style>
  <w:style w:type="character" w:customStyle="1" w:styleId="ListLabel12">
    <w:name w:val="ListLabel 12"/>
    <w:rPr>
      <w:rFonts w:eastAsia="OpenSymbol" w:cs="OpenSymbol"/>
    </w:rPr>
  </w:style>
  <w:style w:type="character" w:customStyle="1" w:styleId="ListLabel13">
    <w:name w:val="ListLabel 13"/>
    <w:rPr>
      <w:rFonts w:eastAsia="OpenSymbol" w:cs="OpenSymbol"/>
    </w:rPr>
  </w:style>
  <w:style w:type="character" w:customStyle="1" w:styleId="ListLabel14">
    <w:name w:val="ListLabel 14"/>
    <w:rPr>
      <w:rFonts w:eastAsia="OpenSymbol" w:cs="OpenSymbol"/>
    </w:rPr>
  </w:style>
  <w:style w:type="character" w:customStyle="1" w:styleId="ListLabel15">
    <w:name w:val="ListLabel 15"/>
    <w:rPr>
      <w:rFonts w:eastAsia="OpenSymbol" w:cs="OpenSymbol"/>
    </w:rPr>
  </w:style>
  <w:style w:type="character" w:customStyle="1" w:styleId="ListLabel16">
    <w:name w:val="ListLabel 16"/>
    <w:rPr>
      <w:rFonts w:eastAsia="OpenSymbol" w:cs="OpenSymbol"/>
    </w:rPr>
  </w:style>
  <w:style w:type="character" w:customStyle="1" w:styleId="ListLabel17">
    <w:name w:val="ListLabel 17"/>
    <w:rPr>
      <w:rFonts w:eastAsia="OpenSymbol" w:cs="OpenSymbol"/>
    </w:rPr>
  </w:style>
  <w:style w:type="character" w:customStyle="1" w:styleId="ListLabel18">
    <w:name w:val="ListLabel 18"/>
    <w:rPr>
      <w:rFonts w:eastAsia="OpenSymbol" w:cs="OpenSymbol"/>
    </w:rPr>
  </w:style>
  <w:style w:type="character" w:customStyle="1" w:styleId="ListLabel19">
    <w:name w:val="ListLabel 19"/>
    <w:rPr>
      <w:rFonts w:eastAsia="OpenSymbol" w:cs="OpenSymbol"/>
    </w:rPr>
  </w:style>
  <w:style w:type="character" w:customStyle="1" w:styleId="ListLabel20">
    <w:name w:val="ListLabel 20"/>
    <w:rPr>
      <w:rFonts w:eastAsia="OpenSymbol" w:cs="OpenSymbol"/>
    </w:rPr>
  </w:style>
  <w:style w:type="character" w:customStyle="1" w:styleId="ListLabel21">
    <w:name w:val="ListLabel 21"/>
    <w:rPr>
      <w:rFonts w:eastAsia="OpenSymbol" w:cs="OpenSymbol"/>
    </w:rPr>
  </w:style>
  <w:style w:type="character" w:customStyle="1" w:styleId="ListLabel22">
    <w:name w:val="ListLabel 22"/>
    <w:rPr>
      <w:rFonts w:eastAsia="OpenSymbol" w:cs="OpenSymbol"/>
    </w:rPr>
  </w:style>
  <w:style w:type="character" w:customStyle="1" w:styleId="ListLabel23">
    <w:name w:val="ListLabel 23"/>
    <w:rPr>
      <w:rFonts w:eastAsia="OpenSymbol" w:cs="OpenSymbol"/>
    </w:rPr>
  </w:style>
  <w:style w:type="character" w:customStyle="1" w:styleId="ListLabel24">
    <w:name w:val="ListLabel 24"/>
    <w:rPr>
      <w:rFonts w:eastAsia="OpenSymbol" w:cs="OpenSymbol"/>
    </w:rPr>
  </w:style>
  <w:style w:type="character" w:customStyle="1" w:styleId="ListLabel25">
    <w:name w:val="ListLabel 25"/>
    <w:rPr>
      <w:rFonts w:eastAsia="OpenSymbol" w:cs="OpenSymbol"/>
    </w:rPr>
  </w:style>
  <w:style w:type="character" w:customStyle="1" w:styleId="ListLabel26">
    <w:name w:val="ListLabel 26"/>
    <w:rPr>
      <w:rFonts w:eastAsia="OpenSymbol" w:cs="OpenSymbol"/>
    </w:rPr>
  </w:style>
  <w:style w:type="character" w:customStyle="1" w:styleId="ListLabel27">
    <w:name w:val="ListLabel 27"/>
    <w:rPr>
      <w:rFonts w:eastAsia="OpenSymbol" w:cs="OpenSymbol"/>
    </w:rPr>
  </w:style>
  <w:style w:type="character" w:customStyle="1" w:styleId="ListLabel28">
    <w:name w:val="ListLabel 28"/>
    <w:rPr>
      <w:rFonts w:eastAsia="OpenSymbol" w:cs="OpenSymbol"/>
    </w:rPr>
  </w:style>
  <w:style w:type="character" w:customStyle="1" w:styleId="ListLabel29">
    <w:name w:val="ListLabel 29"/>
    <w:rPr>
      <w:rFonts w:eastAsia="OpenSymbol" w:cs="OpenSymbol"/>
    </w:rPr>
  </w:style>
  <w:style w:type="character" w:customStyle="1" w:styleId="ListLabel30">
    <w:name w:val="ListLabel 30"/>
    <w:rPr>
      <w:rFonts w:eastAsia="OpenSymbol" w:cs="OpenSymbol"/>
    </w:rPr>
  </w:style>
  <w:style w:type="character" w:customStyle="1" w:styleId="ListLabel31">
    <w:name w:val="ListLabel 31"/>
    <w:rPr>
      <w:rFonts w:eastAsia="OpenSymbol" w:cs="OpenSymbol"/>
    </w:rPr>
  </w:style>
  <w:style w:type="character" w:customStyle="1" w:styleId="ListLabel32">
    <w:name w:val="ListLabel 32"/>
    <w:rPr>
      <w:rFonts w:eastAsia="OpenSymbol" w:cs="OpenSymbol"/>
    </w:rPr>
  </w:style>
  <w:style w:type="character" w:customStyle="1" w:styleId="ListLabel33">
    <w:name w:val="ListLabel 33"/>
    <w:rPr>
      <w:rFonts w:eastAsia="OpenSymbol" w:cs="OpenSymbol"/>
    </w:rPr>
  </w:style>
  <w:style w:type="character" w:customStyle="1" w:styleId="ListLabel34">
    <w:name w:val="ListLabel 34"/>
    <w:rPr>
      <w:rFonts w:eastAsia="OpenSymbol" w:cs="OpenSymbol"/>
    </w:rPr>
  </w:style>
  <w:style w:type="character" w:customStyle="1" w:styleId="ListLabel35">
    <w:name w:val="ListLabel 35"/>
    <w:rPr>
      <w:rFonts w:eastAsia="OpenSymbol" w:cs="OpenSymbol"/>
    </w:rPr>
  </w:style>
  <w:style w:type="character" w:customStyle="1" w:styleId="ListLabel36">
    <w:name w:val="ListLabel 36"/>
    <w:rPr>
      <w:rFonts w:eastAsia="OpenSymbol" w:cs="OpenSymbol"/>
    </w:rPr>
  </w:style>
  <w:style w:type="character" w:customStyle="1" w:styleId="ListLabel37">
    <w:name w:val="ListLabel 37"/>
    <w:rPr>
      <w:rFonts w:eastAsia="OpenSymbol" w:cs="OpenSymbol"/>
    </w:rPr>
  </w:style>
  <w:style w:type="character" w:customStyle="1" w:styleId="ListLabel38">
    <w:name w:val="ListLabel 38"/>
    <w:rPr>
      <w:rFonts w:eastAsia="OpenSymbol" w:cs="OpenSymbol"/>
    </w:rPr>
  </w:style>
  <w:style w:type="character" w:customStyle="1" w:styleId="ListLabel39">
    <w:name w:val="ListLabel 39"/>
    <w:rPr>
      <w:rFonts w:eastAsia="OpenSymbol" w:cs="OpenSymbol"/>
    </w:rPr>
  </w:style>
  <w:style w:type="character" w:customStyle="1" w:styleId="ListLabel40">
    <w:name w:val="ListLabel 40"/>
    <w:rPr>
      <w:rFonts w:eastAsia="OpenSymbol" w:cs="OpenSymbol"/>
    </w:rPr>
  </w:style>
  <w:style w:type="character" w:customStyle="1" w:styleId="ListLabel41">
    <w:name w:val="ListLabel 41"/>
    <w:rPr>
      <w:rFonts w:eastAsia="OpenSymbol" w:cs="OpenSymbol"/>
    </w:rPr>
  </w:style>
  <w:style w:type="character" w:customStyle="1" w:styleId="ListLabel42">
    <w:name w:val="ListLabel 42"/>
    <w:rPr>
      <w:rFonts w:eastAsia="OpenSymbol" w:cs="OpenSymbol"/>
    </w:rPr>
  </w:style>
  <w:style w:type="character" w:customStyle="1" w:styleId="ListLabel43">
    <w:name w:val="ListLabel 43"/>
    <w:rPr>
      <w:rFonts w:eastAsia="OpenSymbol" w:cs="OpenSymbol"/>
    </w:rPr>
  </w:style>
  <w:style w:type="character" w:customStyle="1" w:styleId="ListLabel44">
    <w:name w:val="ListLabel 44"/>
    <w:rPr>
      <w:rFonts w:eastAsia="OpenSymbol" w:cs="OpenSymbol"/>
    </w:rPr>
  </w:style>
  <w:style w:type="character" w:customStyle="1" w:styleId="ListLabel45">
    <w:name w:val="ListLabel 45"/>
    <w:rPr>
      <w:rFonts w:eastAsia="OpenSymbol" w:cs="OpenSymbol"/>
    </w:rPr>
  </w:style>
  <w:style w:type="character" w:customStyle="1" w:styleId="ListLabel46">
    <w:name w:val="ListLabel 46"/>
    <w:rPr>
      <w:shd w:val="clear" w:color="auto" w:fill="FFFF00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ListLabel47">
    <w:name w:val="ListLabel 47"/>
    <w:rPr>
      <w:rFonts w:cs="OpenSymbol"/>
    </w:rPr>
  </w:style>
  <w:style w:type="character" w:customStyle="1" w:styleId="ListLabel48">
    <w:name w:val="ListLabel 48"/>
    <w:rPr>
      <w:rFonts w:cs="OpenSymbol"/>
    </w:rPr>
  </w:style>
  <w:style w:type="character" w:customStyle="1" w:styleId="ListLabel49">
    <w:name w:val="ListLabel 49"/>
    <w:rPr>
      <w:rFonts w:cs="OpenSymbol"/>
    </w:rPr>
  </w:style>
  <w:style w:type="character" w:customStyle="1" w:styleId="ListLabel50">
    <w:name w:val="ListLabel 50"/>
    <w:rPr>
      <w:rFonts w:cs="OpenSymbol"/>
    </w:rPr>
  </w:style>
  <w:style w:type="character" w:customStyle="1" w:styleId="ListLabel51">
    <w:name w:val="ListLabel 51"/>
    <w:rPr>
      <w:rFonts w:cs="OpenSymbol"/>
    </w:rPr>
  </w:style>
  <w:style w:type="character" w:customStyle="1" w:styleId="ListLabel52">
    <w:name w:val="ListLabel 52"/>
    <w:rPr>
      <w:rFonts w:cs="OpenSymbol"/>
    </w:rPr>
  </w:style>
  <w:style w:type="character" w:customStyle="1" w:styleId="ListLabel53">
    <w:name w:val="ListLabel 53"/>
    <w:rPr>
      <w:rFonts w:cs="OpenSymbol"/>
    </w:rPr>
  </w:style>
  <w:style w:type="character" w:customStyle="1" w:styleId="ListLabel54">
    <w:name w:val="ListLabel 54"/>
    <w:rPr>
      <w:rFonts w:cs="OpenSymbol"/>
    </w:rPr>
  </w:style>
  <w:style w:type="character" w:customStyle="1" w:styleId="ListLabel55">
    <w:name w:val="ListLabel 55"/>
    <w:rPr>
      <w:rFonts w:cs="OpenSymbol"/>
    </w:rPr>
  </w:style>
  <w:style w:type="character" w:customStyle="1" w:styleId="ListLabel56">
    <w:name w:val="ListLabel 56"/>
    <w:rPr>
      <w:rFonts w:cs="OpenSymbol"/>
    </w:rPr>
  </w:style>
  <w:style w:type="character" w:customStyle="1" w:styleId="ListLabel57">
    <w:name w:val="ListLabel 57"/>
    <w:rPr>
      <w:rFonts w:cs="OpenSymbol"/>
    </w:rPr>
  </w:style>
  <w:style w:type="character" w:customStyle="1" w:styleId="ListLabel58">
    <w:name w:val="ListLabel 58"/>
    <w:rPr>
      <w:rFonts w:cs="OpenSymbol"/>
    </w:rPr>
  </w:style>
  <w:style w:type="character" w:customStyle="1" w:styleId="ListLabel59">
    <w:name w:val="ListLabel 59"/>
    <w:rPr>
      <w:rFonts w:cs="OpenSymbol"/>
    </w:rPr>
  </w:style>
  <w:style w:type="character" w:customStyle="1" w:styleId="ListLabel60">
    <w:name w:val="ListLabel 60"/>
    <w:rPr>
      <w:rFonts w:cs="OpenSymbol"/>
    </w:rPr>
  </w:style>
  <w:style w:type="character" w:customStyle="1" w:styleId="ListLabel61">
    <w:name w:val="ListLabel 61"/>
    <w:rPr>
      <w:rFonts w:cs="OpenSymbol"/>
    </w:rPr>
  </w:style>
  <w:style w:type="character" w:customStyle="1" w:styleId="ListLabel62">
    <w:name w:val="ListLabel 62"/>
    <w:rPr>
      <w:rFonts w:cs="OpenSymbol"/>
    </w:rPr>
  </w:style>
  <w:style w:type="character" w:customStyle="1" w:styleId="ListLabel63">
    <w:name w:val="ListLabel 63"/>
    <w:rPr>
      <w:rFonts w:cs="OpenSymbol"/>
    </w:rPr>
  </w:style>
  <w:style w:type="character" w:customStyle="1" w:styleId="ListLabel64">
    <w:name w:val="ListLabel 64"/>
    <w:rPr>
      <w:rFonts w:cs="OpenSymbol"/>
    </w:rPr>
  </w:style>
  <w:style w:type="character" w:customStyle="1" w:styleId="ListLabel65">
    <w:name w:val="ListLabel 65"/>
  </w:style>
  <w:style w:type="character" w:customStyle="1" w:styleId="ListLabel66">
    <w:name w:val="ListLabel 66"/>
    <w:rPr>
      <w:rFonts w:cs="OpenSymbol"/>
    </w:rPr>
  </w:style>
  <w:style w:type="character" w:customStyle="1" w:styleId="ListLabel67">
    <w:name w:val="ListLabel 67"/>
    <w:rPr>
      <w:rFonts w:cs="OpenSymbol"/>
    </w:rPr>
  </w:style>
  <w:style w:type="character" w:customStyle="1" w:styleId="ListLabel68">
    <w:name w:val="ListLabel 68"/>
    <w:rPr>
      <w:rFonts w:cs="OpenSymbol"/>
    </w:rPr>
  </w:style>
  <w:style w:type="character" w:customStyle="1" w:styleId="ListLabel69">
    <w:name w:val="ListLabel 69"/>
    <w:rPr>
      <w:rFonts w:cs="OpenSymbol"/>
    </w:rPr>
  </w:style>
  <w:style w:type="character" w:customStyle="1" w:styleId="ListLabel70">
    <w:name w:val="ListLabel 70"/>
    <w:rPr>
      <w:rFonts w:cs="OpenSymbol"/>
    </w:rPr>
  </w:style>
  <w:style w:type="character" w:customStyle="1" w:styleId="ListLabel71">
    <w:name w:val="ListLabel 71"/>
    <w:rPr>
      <w:rFonts w:cs="OpenSymbol"/>
    </w:rPr>
  </w:style>
  <w:style w:type="character" w:customStyle="1" w:styleId="ListLabel72">
    <w:name w:val="ListLabel 72"/>
    <w:rPr>
      <w:rFonts w:cs="OpenSymbol"/>
    </w:rPr>
  </w:style>
  <w:style w:type="character" w:customStyle="1" w:styleId="ListLabel73">
    <w:name w:val="ListLabel 73"/>
    <w:rPr>
      <w:rFonts w:cs="OpenSymbol"/>
    </w:rPr>
  </w:style>
  <w:style w:type="character" w:customStyle="1" w:styleId="ListLabel74">
    <w:name w:val="ListLabel 74"/>
    <w:rPr>
      <w:rFonts w:cs="OpenSymbol"/>
    </w:rPr>
  </w:style>
  <w:style w:type="character" w:customStyle="1" w:styleId="ListLabel75">
    <w:name w:val="ListLabel 75"/>
    <w:rPr>
      <w:rFonts w:cs="OpenSymbol"/>
    </w:rPr>
  </w:style>
  <w:style w:type="character" w:customStyle="1" w:styleId="ListLabel76">
    <w:name w:val="ListLabel 76"/>
    <w:rPr>
      <w:rFonts w:cs="OpenSymbol"/>
    </w:rPr>
  </w:style>
  <w:style w:type="character" w:customStyle="1" w:styleId="ListLabel77">
    <w:name w:val="ListLabel 77"/>
    <w:rPr>
      <w:rFonts w:cs="OpenSymbol"/>
    </w:rPr>
  </w:style>
  <w:style w:type="character" w:customStyle="1" w:styleId="ListLabel78">
    <w:name w:val="ListLabel 78"/>
    <w:rPr>
      <w:rFonts w:cs="OpenSymbol"/>
    </w:rPr>
  </w:style>
  <w:style w:type="character" w:customStyle="1" w:styleId="ListLabel79">
    <w:name w:val="ListLabel 79"/>
    <w:rPr>
      <w:rFonts w:cs="OpenSymbol"/>
    </w:rPr>
  </w:style>
  <w:style w:type="character" w:customStyle="1" w:styleId="ListLabel80">
    <w:name w:val="ListLabel 80"/>
    <w:rPr>
      <w:rFonts w:cs="OpenSymbol"/>
    </w:rPr>
  </w:style>
  <w:style w:type="character" w:customStyle="1" w:styleId="ListLabel81">
    <w:name w:val="ListLabel 81"/>
    <w:rPr>
      <w:rFonts w:cs="OpenSymbol"/>
    </w:rPr>
  </w:style>
  <w:style w:type="character" w:customStyle="1" w:styleId="ListLabel82">
    <w:name w:val="ListLabel 82"/>
    <w:rPr>
      <w:rFonts w:cs="OpenSymbol"/>
    </w:rPr>
  </w:style>
  <w:style w:type="character" w:customStyle="1" w:styleId="ListLabel83">
    <w:name w:val="ListLabel 83"/>
    <w:rPr>
      <w:rFonts w:cs="OpenSymbol"/>
    </w:rPr>
  </w:style>
  <w:style w:type="character" w:customStyle="1" w:styleId="ListLabel84">
    <w:name w:val="ListLabel 84"/>
  </w:style>
  <w:style w:type="character" w:styleId="Odkaznakoment">
    <w:name w:val="annotation reference"/>
    <w:basedOn w:val="Standardnpsmoodstavce"/>
    <w:uiPriority w:val="99"/>
    <w:rPr>
      <w:sz w:val="16"/>
      <w:szCs w:val="16"/>
    </w:rPr>
  </w:style>
  <w:style w:type="character" w:customStyle="1" w:styleId="TextkomenteChar">
    <w:name w:val="Text komentáře Char"/>
    <w:basedOn w:val="Standardnpsmoodstavce"/>
    <w:uiPriority w:val="99"/>
    <w:rPr>
      <w:rFonts w:cs="Mangal"/>
      <w:szCs w:val="18"/>
    </w:rPr>
  </w:style>
  <w:style w:type="character" w:customStyle="1" w:styleId="PedmtkomenteChar">
    <w:name w:val="Předmět komentáře Char"/>
    <w:basedOn w:val="TextkomenteChar"/>
    <w:rPr>
      <w:rFonts w:cs="Mangal"/>
      <w:b/>
      <w:bCs/>
      <w:szCs w:val="18"/>
    </w:rPr>
  </w:style>
  <w:style w:type="character" w:customStyle="1" w:styleId="A5">
    <w:name w:val="A5"/>
    <w:rPr>
      <w:color w:val="000000"/>
      <w:sz w:val="20"/>
      <w:szCs w:val="20"/>
    </w:rPr>
  </w:style>
  <w:style w:type="character" w:customStyle="1" w:styleId="ListLabel85">
    <w:name w:val="ListLabel 85"/>
    <w:rPr>
      <w:rFonts w:cs="OpenSymbol"/>
    </w:rPr>
  </w:style>
  <w:style w:type="character" w:customStyle="1" w:styleId="ListLabel86">
    <w:name w:val="ListLabel 86"/>
    <w:rPr>
      <w:rFonts w:cs="OpenSymbol"/>
    </w:rPr>
  </w:style>
  <w:style w:type="character" w:customStyle="1" w:styleId="ListLabel87">
    <w:name w:val="ListLabel 87"/>
    <w:rPr>
      <w:rFonts w:cs="OpenSymbol"/>
    </w:rPr>
  </w:style>
  <w:style w:type="character" w:customStyle="1" w:styleId="ListLabel88">
    <w:name w:val="ListLabel 88"/>
    <w:rPr>
      <w:rFonts w:cs="OpenSymbol"/>
    </w:rPr>
  </w:style>
  <w:style w:type="character" w:customStyle="1" w:styleId="ListLabel89">
    <w:name w:val="ListLabel 89"/>
    <w:rPr>
      <w:rFonts w:cs="OpenSymbol"/>
    </w:rPr>
  </w:style>
  <w:style w:type="character" w:customStyle="1" w:styleId="ListLabel90">
    <w:name w:val="ListLabel 90"/>
    <w:rPr>
      <w:rFonts w:cs="OpenSymbol"/>
    </w:rPr>
  </w:style>
  <w:style w:type="character" w:customStyle="1" w:styleId="ListLabel91">
    <w:name w:val="ListLabel 91"/>
    <w:rPr>
      <w:rFonts w:cs="OpenSymbol"/>
    </w:rPr>
  </w:style>
  <w:style w:type="character" w:customStyle="1" w:styleId="ListLabel92">
    <w:name w:val="ListLabel 92"/>
    <w:rPr>
      <w:rFonts w:cs="OpenSymbol"/>
    </w:rPr>
  </w:style>
  <w:style w:type="character" w:customStyle="1" w:styleId="ListLabel93">
    <w:name w:val="ListLabel 93"/>
    <w:rPr>
      <w:rFonts w:cs="OpenSymbol"/>
    </w:rPr>
  </w:style>
  <w:style w:type="character" w:customStyle="1" w:styleId="ListLabel94">
    <w:name w:val="ListLabel 94"/>
    <w:rPr>
      <w:rFonts w:cs="OpenSymbol"/>
    </w:rPr>
  </w:style>
  <w:style w:type="character" w:customStyle="1" w:styleId="ListLabel95">
    <w:name w:val="ListLabel 95"/>
    <w:rPr>
      <w:rFonts w:cs="OpenSymbol"/>
    </w:rPr>
  </w:style>
  <w:style w:type="character" w:customStyle="1" w:styleId="ListLabel96">
    <w:name w:val="ListLabel 96"/>
    <w:rPr>
      <w:rFonts w:cs="OpenSymbol"/>
    </w:rPr>
  </w:style>
  <w:style w:type="character" w:customStyle="1" w:styleId="ListLabel97">
    <w:name w:val="ListLabel 97"/>
    <w:rPr>
      <w:rFonts w:cs="OpenSymbol"/>
    </w:rPr>
  </w:style>
  <w:style w:type="character" w:customStyle="1" w:styleId="ListLabel98">
    <w:name w:val="ListLabel 98"/>
    <w:rPr>
      <w:rFonts w:cs="OpenSymbol"/>
    </w:rPr>
  </w:style>
  <w:style w:type="character" w:customStyle="1" w:styleId="ListLabel99">
    <w:name w:val="ListLabel 99"/>
    <w:rPr>
      <w:rFonts w:cs="OpenSymbol"/>
    </w:rPr>
  </w:style>
  <w:style w:type="character" w:customStyle="1" w:styleId="ListLabel100">
    <w:name w:val="ListLabel 100"/>
    <w:rPr>
      <w:rFonts w:cs="OpenSymbol"/>
    </w:rPr>
  </w:style>
  <w:style w:type="character" w:customStyle="1" w:styleId="ListLabel101">
    <w:name w:val="ListLabel 101"/>
    <w:rPr>
      <w:rFonts w:cs="OpenSymbol"/>
    </w:rPr>
  </w:style>
  <w:style w:type="character" w:customStyle="1" w:styleId="ListLabel102">
    <w:name w:val="ListLabel 102"/>
    <w:rPr>
      <w:rFonts w:cs="OpenSymbol"/>
    </w:rPr>
  </w:style>
  <w:style w:type="character" w:customStyle="1" w:styleId="ListLabel103">
    <w:name w:val="ListLabel 103"/>
  </w:style>
  <w:style w:type="character" w:customStyle="1" w:styleId="IndexLink">
    <w:name w:val="Index Link"/>
  </w:style>
  <w:style w:type="character" w:customStyle="1" w:styleId="VisitedInternetLink">
    <w:name w:val="Visited Internet Link"/>
    <w:rPr>
      <w:color w:val="800000"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rsid w:val="00AA5E5C"/>
    <w:pPr>
      <w:spacing w:after="100"/>
    </w:pPr>
    <w:rPr>
      <w:rFonts w:cs="Mangal"/>
      <w:szCs w:val="21"/>
    </w:rPr>
  </w:style>
  <w:style w:type="paragraph" w:styleId="Obsah2">
    <w:name w:val="toc 2"/>
    <w:basedOn w:val="Normln"/>
    <w:next w:val="Normln"/>
    <w:autoRedefine/>
    <w:uiPriority w:val="39"/>
    <w:unhideWhenUsed/>
    <w:rsid w:val="00AA5E5C"/>
    <w:pPr>
      <w:spacing w:after="100"/>
      <w:ind w:left="240"/>
    </w:pPr>
    <w:rPr>
      <w:rFonts w:cs="Mangal"/>
      <w:szCs w:val="21"/>
    </w:rPr>
  </w:style>
  <w:style w:type="paragraph" w:styleId="Obsah3">
    <w:name w:val="toc 3"/>
    <w:basedOn w:val="Normln"/>
    <w:next w:val="Normln"/>
    <w:autoRedefine/>
    <w:uiPriority w:val="39"/>
    <w:unhideWhenUsed/>
    <w:rsid w:val="00AA5E5C"/>
    <w:pPr>
      <w:spacing w:after="100"/>
      <w:ind w:left="480"/>
    </w:pPr>
    <w:rPr>
      <w:rFonts w:cs="Mangal"/>
      <w:szCs w:val="21"/>
    </w:rPr>
  </w:style>
  <w:style w:type="character" w:styleId="Hypertextovodkaz">
    <w:name w:val="Hyperlink"/>
    <w:basedOn w:val="Standardnpsmoodstavce"/>
    <w:uiPriority w:val="99"/>
    <w:unhideWhenUsed/>
    <w:rsid w:val="00AA5E5C"/>
    <w:rPr>
      <w:color w:val="0563C1" w:themeColor="hyperlink"/>
      <w:u w:val="single"/>
    </w:rPr>
  </w:style>
  <w:style w:type="character" w:customStyle="1" w:styleId="A4">
    <w:name w:val="A4"/>
    <w:rPr>
      <w:b/>
      <w:color w:val="211D1E"/>
      <w:sz w:val="30"/>
    </w:rPr>
  </w:style>
  <w:style w:type="character" w:customStyle="1" w:styleId="Character20style">
    <w:name w:val="Character_20_style"/>
  </w:style>
  <w:style w:type="character" w:customStyle="1" w:styleId="WW8Num2z0">
    <w:name w:val="WW8Num2z0"/>
    <w:rPr>
      <w:rFonts w:ascii="Tahoma" w:eastAsia="Times New Roman" w:hAnsi="Tahoma" w:cs="Tahoma"/>
      <w:color w:val="231F20"/>
      <w:spacing w:val="-29"/>
      <w:w w:val="100"/>
      <w:sz w:val="20"/>
      <w:szCs w:val="20"/>
    </w:rPr>
  </w:style>
  <w:style w:type="numbering" w:customStyle="1" w:styleId="Numbering1">
    <w:name w:val="Numbering 1"/>
    <w:basedOn w:val="Bezseznamu"/>
  </w:style>
  <w:style w:type="numbering" w:customStyle="1" w:styleId="WWOutlineListStyle">
    <w:name w:val="WW_OutlineListStyle"/>
    <w:basedOn w:val="Bezseznamu"/>
  </w:style>
  <w:style w:type="numbering" w:customStyle="1" w:styleId="Bezseznamu1">
    <w:name w:val="Bez seznamu1"/>
    <w:basedOn w:val="Bezseznamu"/>
  </w:style>
  <w:style w:type="numbering" w:customStyle="1" w:styleId="refuel">
    <w:name w:val="refuel"/>
    <w:basedOn w:val="Bezseznamu"/>
  </w:style>
  <w:style w:type="numbering" w:customStyle="1" w:styleId="WWNum2">
    <w:name w:val="WWNum2"/>
    <w:basedOn w:val="Bezseznamu"/>
  </w:style>
  <w:style w:type="numbering" w:customStyle="1" w:styleId="WWNum3">
    <w:name w:val="WWNum3"/>
    <w:basedOn w:val="Bezseznamu"/>
  </w:style>
  <w:style w:type="numbering" w:customStyle="1" w:styleId="WWNum4">
    <w:name w:val="WWNum4"/>
    <w:basedOn w:val="Bezseznamu"/>
  </w:style>
  <w:style w:type="numbering" w:customStyle="1" w:styleId="WWNum5">
    <w:name w:val="WWNum5"/>
    <w:basedOn w:val="Bezseznamu"/>
  </w:style>
  <w:style w:type="numbering" w:customStyle="1" w:styleId="WWNum1">
    <w:name w:val="WWNum1"/>
    <w:basedOn w:val="Bezseznamu"/>
  </w:style>
  <w:style w:type="numbering" w:customStyle="1" w:styleId="WW8Num1">
    <w:name w:val="WW8Num1"/>
    <w:basedOn w:val="Bezseznamu"/>
  </w:style>
  <w:style w:type="numbering" w:customStyle="1" w:styleId="WW8Num2">
    <w:name w:val="WW8Num2"/>
    <w:basedOn w:val="Bezseznamu"/>
  </w:style>
  <w:style w:type="character" w:customStyle="1" w:styleId="Nadpis1Char">
    <w:name w:val="Nadpis 1 Char"/>
    <w:basedOn w:val="Standardnpsmoodstavce"/>
    <w:link w:val="Nadpis1"/>
    <w:uiPriority w:val="9"/>
    <w:rsid w:val="0091427A"/>
    <w:rPr>
      <w:rFonts w:ascii="Mirai" w:eastAsia="Mirai" w:hAnsi="Mirai" w:cs="Mirai"/>
      <w:b/>
      <w:bCs/>
      <w:caps/>
      <w:sz w:val="60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F2096"/>
    <w:rPr>
      <w:rFonts w:ascii="Mirai" w:eastAsia="Mirai" w:hAnsi="Mirai" w:cs="Mirai"/>
      <w:b/>
      <w:bCs/>
      <w:caps/>
      <w:szCs w:val="28"/>
    </w:rPr>
  </w:style>
  <w:style w:type="character" w:styleId="Nevyeenzmnka">
    <w:name w:val="Unresolved Mention"/>
    <w:basedOn w:val="Standardnpsmoodstavce"/>
    <w:uiPriority w:val="99"/>
    <w:semiHidden/>
    <w:unhideWhenUsed/>
    <w:rsid w:val="000A75D5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B47C66"/>
    <w:rPr>
      <w:color w:val="954F72" w:themeColor="followedHyperlink"/>
      <w:u w:val="single"/>
    </w:rPr>
  </w:style>
  <w:style w:type="paragraph" w:styleId="Revize">
    <w:name w:val="Revision"/>
    <w:hidden/>
    <w:uiPriority w:val="99"/>
    <w:semiHidden/>
    <w:rsid w:val="00414EED"/>
    <w:pPr>
      <w:widowControl/>
    </w:pPr>
    <w:rPr>
      <w:rFonts w:cs="Mangal"/>
      <w:szCs w:val="21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stromypodkontrolou.cz/map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nbVn8WgAigZwDfLa4bznhwaT2g==">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12</Pages>
  <Words>3035</Words>
  <Characters>17908</Characters>
  <Application>Microsoft Office Word</Application>
  <DocSecurity>0</DocSecurity>
  <Lines>149</Lines>
  <Paragraphs>41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Milan</dc:creator>
  <cp:lastModifiedBy>Boris Hladký</cp:lastModifiedBy>
  <cp:revision>2</cp:revision>
  <dcterms:created xsi:type="dcterms:W3CDTF">2023-12-18T17:16:00Z</dcterms:created>
  <dcterms:modified xsi:type="dcterms:W3CDTF">2024-02-02T16:43:00Z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ntentTypeId">
    <vt:lpwstr>0x010100A63154EF61E9A84BA9A40A84E818A7B2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