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24C02C72" w14:textId="77777777" w:rsidR="00F60B5F" w:rsidRDefault="00F60B5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7D5E4669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8B5852">
        <w:rPr>
          <w:rFonts w:ascii="Candara" w:hAnsi="Candara"/>
          <w:b/>
          <w:sz w:val="72"/>
          <w:szCs w:val="72"/>
        </w:rPr>
        <w:t>9(</w:t>
      </w:r>
      <w:r w:rsidR="00E8579E">
        <w:rPr>
          <w:rFonts w:ascii="Candara" w:hAnsi="Candara"/>
          <w:b/>
          <w:sz w:val="72"/>
          <w:szCs w:val="72"/>
        </w:rPr>
        <w:t>b</w:t>
      </w:r>
      <w:r w:rsidR="008B5852">
        <w:rPr>
          <w:rFonts w:ascii="Candara" w:hAnsi="Candara"/>
          <w:b/>
          <w:sz w:val="72"/>
          <w:szCs w:val="72"/>
        </w:rPr>
        <w:t>)</w:t>
      </w:r>
    </w:p>
    <w:p w14:paraId="14184EB6" w14:textId="42D23FA2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0A06CF">
        <w:rPr>
          <w:rFonts w:ascii="Candara" w:hAnsi="Candara"/>
          <w:b/>
          <w:sz w:val="72"/>
          <w:szCs w:val="72"/>
        </w:rPr>
        <w:t xml:space="preserve">pecifikace </w:t>
      </w:r>
      <w:r w:rsidR="00F60B5F">
        <w:rPr>
          <w:rFonts w:ascii="Candara" w:hAnsi="Candara"/>
          <w:b/>
          <w:sz w:val="72"/>
          <w:szCs w:val="72"/>
        </w:rPr>
        <w:t xml:space="preserve">dokladů </w:t>
      </w:r>
      <w:r w:rsidR="00F60B5F">
        <w:rPr>
          <w:rFonts w:ascii="Candara" w:hAnsi="Candara"/>
          <w:b/>
          <w:sz w:val="72"/>
          <w:szCs w:val="72"/>
        </w:rPr>
        <w:br/>
        <w:t xml:space="preserve">řádného pojetí </w:t>
      </w:r>
      <w:r w:rsidR="00A76684">
        <w:rPr>
          <w:rFonts w:ascii="Candara" w:hAnsi="Candara"/>
          <w:b/>
          <w:sz w:val="72"/>
          <w:szCs w:val="72"/>
        </w:rPr>
        <w:t>D</w:t>
      </w:r>
      <w:r w:rsidR="00F60B5F">
        <w:rPr>
          <w:rFonts w:ascii="Candara" w:hAnsi="Candara"/>
          <w:b/>
          <w:sz w:val="72"/>
          <w:szCs w:val="72"/>
        </w:rPr>
        <w:t xml:space="preserve">íla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271388C1" w:rsidR="00C116D5" w:rsidRPr="008B652B" w:rsidRDefault="00E823DF" w:rsidP="00C116D5">
      <w:pPr>
        <w:spacing w:before="0"/>
        <w:jc w:val="center"/>
        <w:rPr>
          <w:rFonts w:ascii="Candara" w:hAnsi="Candara"/>
          <w:sz w:val="48"/>
          <w:szCs w:val="48"/>
        </w:rPr>
      </w:pPr>
      <w:r w:rsidRPr="00E823DF">
        <w:rPr>
          <w:rFonts w:ascii="Candara" w:hAnsi="Candara"/>
          <w:bCs/>
          <w:sz w:val="72"/>
          <w:szCs w:val="72"/>
        </w:rPr>
        <w:t>(</w:t>
      </w:r>
      <w:r w:rsidR="000A06CF">
        <w:rPr>
          <w:rFonts w:ascii="Candara" w:hAnsi="Candara"/>
          <w:bCs/>
          <w:sz w:val="72"/>
          <w:szCs w:val="72"/>
        </w:rPr>
        <w:t>předběžné znění</w:t>
      </w:r>
      <w:r w:rsidRPr="00E823DF">
        <w:rPr>
          <w:rFonts w:ascii="Candara" w:hAnsi="Candara"/>
          <w:bCs/>
          <w:sz w:val="72"/>
          <w:szCs w:val="72"/>
        </w:rPr>
        <w:t>)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2F2F133" w14:textId="77777777" w:rsidR="0073026A" w:rsidRDefault="0073026A" w:rsidP="0073026A">
      <w:pPr>
        <w:pStyle w:val="Bezmezer"/>
      </w:pPr>
      <w:bookmarkStart w:id="0" w:name="_Hlk211871172"/>
    </w:p>
    <w:p w14:paraId="56BF26FF" w14:textId="50058A60" w:rsidR="005E0AC1" w:rsidRPr="005E0AC1" w:rsidRDefault="000A06CF" w:rsidP="005E0AC1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1" w:name="_Hlk211871163"/>
      <w:r w:rsidRPr="005E0AC1">
        <w:rPr>
          <w:rFonts w:cstheme="minorHAnsi"/>
          <w:b/>
          <w:bCs/>
        </w:rPr>
        <w:t xml:space="preserve">A. </w:t>
      </w:r>
      <w:bookmarkStart w:id="2" w:name="_Hlk211871185"/>
      <w:bookmarkEnd w:id="0"/>
      <w:bookmarkEnd w:id="1"/>
      <w:r w:rsidR="009A2B77">
        <w:rPr>
          <w:rFonts w:cstheme="minorHAnsi"/>
          <w:b/>
          <w:bCs/>
        </w:rPr>
        <w:t xml:space="preserve">Požadované doklady </w:t>
      </w:r>
      <w:r w:rsidR="009239BF">
        <w:rPr>
          <w:rFonts w:cstheme="minorHAnsi"/>
          <w:b/>
          <w:bCs/>
        </w:rPr>
        <w:t xml:space="preserve">v průběhu zadávacího řízení </w:t>
      </w:r>
    </w:p>
    <w:p w14:paraId="59314377" w14:textId="6FD3983E" w:rsidR="00F60B5F" w:rsidRDefault="005E0AC1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(A.1) </w:t>
      </w:r>
      <w:r w:rsidR="00F60B5F">
        <w:rPr>
          <w:rFonts w:cstheme="minorHAnsi"/>
        </w:rPr>
        <w:t xml:space="preserve">Zadavatel požaduje, aby účastníci v rámci svých nabídek kromě specifikace ceny rovněž konkretizovali u níže uvedených </w:t>
      </w:r>
      <w:r w:rsidR="009A2B77">
        <w:rPr>
          <w:rFonts w:cstheme="minorHAnsi"/>
        </w:rPr>
        <w:t xml:space="preserve">částí </w:t>
      </w:r>
      <w:r w:rsidR="009239BF">
        <w:rPr>
          <w:rFonts w:cstheme="minorHAnsi"/>
        </w:rPr>
        <w:t>D</w:t>
      </w:r>
      <w:r w:rsidR="009A2B77">
        <w:rPr>
          <w:rFonts w:cstheme="minorHAnsi"/>
        </w:rPr>
        <w:t>íla</w:t>
      </w:r>
      <w:r w:rsidR="00F60B5F">
        <w:rPr>
          <w:rFonts w:cstheme="minorHAnsi"/>
        </w:rPr>
        <w:t xml:space="preserve"> konkrétního výrobce a </w:t>
      </w:r>
      <w:r w:rsidR="009A2B77">
        <w:rPr>
          <w:rFonts w:cstheme="minorHAnsi"/>
        </w:rPr>
        <w:t xml:space="preserve">doložili hodnověrnými doklady, že daná komponenta splňuje </w:t>
      </w:r>
      <w:r w:rsidR="00F60B5F">
        <w:rPr>
          <w:rFonts w:cstheme="minorHAnsi"/>
        </w:rPr>
        <w:t>technické parametry</w:t>
      </w:r>
      <w:r w:rsidR="009A2B77">
        <w:rPr>
          <w:rFonts w:cstheme="minorHAnsi"/>
        </w:rPr>
        <w:t>, které předepisuje příloha 9(a) zadávací dokumentace</w:t>
      </w:r>
      <w:r w:rsidR="00F60B5F">
        <w:rPr>
          <w:rFonts w:cstheme="minorHAnsi"/>
        </w:rPr>
        <w:t>. Konkrétně se jedná o následující</w:t>
      </w:r>
      <w:r w:rsidR="009A2B77">
        <w:rPr>
          <w:rFonts w:cstheme="minorHAnsi"/>
        </w:rPr>
        <w:t xml:space="preserve"> dílčí materiálové komponenty</w:t>
      </w:r>
      <w:r w:rsidR="00F60B5F">
        <w:rPr>
          <w:rFonts w:cstheme="minorHAnsi"/>
        </w:rPr>
        <w:t>:</w:t>
      </w:r>
    </w:p>
    <w:p w14:paraId="085729F0" w14:textId="37B2DB13" w:rsidR="00F60B5F" w:rsidRDefault="00F60B5F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 w:rsidRPr="00F60B5F">
        <w:rPr>
          <w:rFonts w:cstheme="minorHAnsi"/>
        </w:rPr>
        <w:t>Předizolovan</w:t>
      </w:r>
      <w:r w:rsidR="009A2B77">
        <w:rPr>
          <w:rFonts w:cstheme="minorHAnsi"/>
        </w:rPr>
        <w:t>é</w:t>
      </w:r>
      <w:r w:rsidRPr="00F60B5F">
        <w:rPr>
          <w:rFonts w:cstheme="minorHAnsi"/>
        </w:rPr>
        <w:t xml:space="preserve"> potrubí </w:t>
      </w:r>
      <w:r w:rsidR="009A2B77">
        <w:rPr>
          <w:rFonts w:cstheme="minorHAnsi"/>
        </w:rPr>
        <w:t xml:space="preserve">(zde včetně doložení materiálového certifikátu </w:t>
      </w:r>
      <w:r w:rsidR="009A2B77" w:rsidRPr="005E0AC1">
        <w:rPr>
          <w:rFonts w:cstheme="minorHAnsi"/>
        </w:rPr>
        <w:t xml:space="preserve">dle EN </w:t>
      </w:r>
      <w:proofErr w:type="gramStart"/>
      <w:r w:rsidR="009A2B77" w:rsidRPr="005E0AC1">
        <w:rPr>
          <w:rFonts w:cstheme="minorHAnsi"/>
        </w:rPr>
        <w:t>10204 –</w:t>
      </w:r>
      <w:r w:rsidR="009A2B77">
        <w:rPr>
          <w:rFonts w:cstheme="minorHAnsi"/>
        </w:rPr>
        <w:t xml:space="preserve"> 3</w:t>
      </w:r>
      <w:proofErr w:type="gramEnd"/>
      <w:r w:rsidR="009A2B77">
        <w:rPr>
          <w:rFonts w:cstheme="minorHAnsi"/>
        </w:rPr>
        <w:t>.1)</w:t>
      </w:r>
    </w:p>
    <w:p w14:paraId="38729F27" w14:textId="087D35E2" w:rsidR="009A2B77" w:rsidRDefault="009A2B77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 xml:space="preserve">Ostatní potrubí (opět včetně doložení materiálového certifikátu </w:t>
      </w:r>
      <w:r w:rsidRPr="005E0AC1">
        <w:rPr>
          <w:rFonts w:cstheme="minorHAnsi"/>
        </w:rPr>
        <w:t xml:space="preserve">dle EN </w:t>
      </w:r>
      <w:proofErr w:type="gramStart"/>
      <w:r w:rsidRPr="005E0AC1">
        <w:rPr>
          <w:rFonts w:cstheme="minorHAnsi"/>
        </w:rPr>
        <w:t>10204 –</w:t>
      </w:r>
      <w:r>
        <w:rPr>
          <w:rFonts w:cstheme="minorHAnsi"/>
        </w:rPr>
        <w:t xml:space="preserve"> 3</w:t>
      </w:r>
      <w:proofErr w:type="gramEnd"/>
      <w:r>
        <w:rPr>
          <w:rFonts w:cstheme="minorHAnsi"/>
        </w:rPr>
        <w:t>.1)</w:t>
      </w:r>
    </w:p>
    <w:p w14:paraId="51264632" w14:textId="1E817F25" w:rsidR="00985688" w:rsidRDefault="00985688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>Tepelné izolace na ostatní potrubí vč. izolace armatur</w:t>
      </w:r>
    </w:p>
    <w:p w14:paraId="60BF683E" w14:textId="419A2265" w:rsidR="00F60B5F" w:rsidRDefault="00F60B5F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 xml:space="preserve">Akumulační nádrže </w:t>
      </w:r>
    </w:p>
    <w:p w14:paraId="53BFB459" w14:textId="3A2FD33A" w:rsidR="00F60B5F" w:rsidRDefault="00F60B5F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>Oběhová čerpadla</w:t>
      </w:r>
    </w:p>
    <w:p w14:paraId="0D79C459" w14:textId="2829B2A6" w:rsidR="00F60B5F" w:rsidRPr="00F60B5F" w:rsidRDefault="00F60B5F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 w:rsidRPr="00F60B5F">
        <w:rPr>
          <w:rFonts w:cstheme="minorHAnsi"/>
        </w:rPr>
        <w:t xml:space="preserve">Předávací stanice tepla (budou-li </w:t>
      </w:r>
      <w:r>
        <w:rPr>
          <w:rFonts w:cstheme="minorHAnsi"/>
        </w:rPr>
        <w:t>dodány jako kompletní výrobek)</w:t>
      </w:r>
      <w:r w:rsidRPr="00F60B5F">
        <w:rPr>
          <w:rFonts w:cstheme="minorHAnsi"/>
        </w:rPr>
        <w:t xml:space="preserve"> </w:t>
      </w:r>
    </w:p>
    <w:p w14:paraId="182A47D2" w14:textId="3B880CA5" w:rsidR="00F60B5F" w:rsidRDefault="00F60B5F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 xml:space="preserve">Software systému ASŘ/IACS </w:t>
      </w:r>
    </w:p>
    <w:p w14:paraId="6D59F972" w14:textId="3F02457A" w:rsidR="00985688" w:rsidRDefault="00985688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 xml:space="preserve">Ocelové konzole </w:t>
      </w:r>
    </w:p>
    <w:p w14:paraId="55303688" w14:textId="0940852A" w:rsidR="00985688" w:rsidRDefault="00985688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 xml:space="preserve">Potrubní mosty </w:t>
      </w:r>
    </w:p>
    <w:p w14:paraId="0B4163F8" w14:textId="1BC44340" w:rsidR="00985688" w:rsidRDefault="009239BF" w:rsidP="009A2B77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 xml:space="preserve">Výparník a kondenzátor čpavku </w:t>
      </w:r>
      <w:r w:rsidR="003B13A4">
        <w:rPr>
          <w:rFonts w:cstheme="minorHAnsi"/>
        </w:rPr>
        <w:t xml:space="preserve">(k umístění do strojovny JCI) </w:t>
      </w:r>
      <w:r>
        <w:rPr>
          <w:rFonts w:cstheme="minorHAnsi"/>
        </w:rPr>
        <w:t xml:space="preserve"> </w:t>
      </w:r>
    </w:p>
    <w:p w14:paraId="32CB7026" w14:textId="64F52BCC" w:rsidR="00985688" w:rsidRPr="003B13A4" w:rsidRDefault="00985688" w:rsidP="003B13A4">
      <w:pPr>
        <w:pStyle w:val="Odstavecseseznamem"/>
        <w:numPr>
          <w:ilvl w:val="0"/>
          <w:numId w:val="13"/>
        </w:numPr>
        <w:spacing w:before="240" w:after="240"/>
        <w:ind w:left="714" w:hanging="357"/>
        <w:contextualSpacing w:val="0"/>
        <w:outlineLvl w:val="1"/>
        <w:rPr>
          <w:rFonts w:cstheme="minorHAnsi"/>
        </w:rPr>
      </w:pPr>
      <w:r>
        <w:rPr>
          <w:rFonts w:cstheme="minorHAnsi"/>
        </w:rPr>
        <w:t>Suchý chladič</w:t>
      </w:r>
      <w:r w:rsidR="009239BF">
        <w:rPr>
          <w:rFonts w:cstheme="minorHAnsi"/>
        </w:rPr>
        <w:t xml:space="preserve"> (mazacího oleje chladících strojů</w:t>
      </w:r>
      <w:r w:rsidR="003B13A4">
        <w:rPr>
          <w:rFonts w:cstheme="minorHAnsi"/>
        </w:rPr>
        <w:t xml:space="preserve"> ve strojovně EGC1</w:t>
      </w:r>
      <w:r w:rsidR="009239BF">
        <w:rPr>
          <w:rFonts w:cstheme="minorHAnsi"/>
        </w:rPr>
        <w:t xml:space="preserve">) </w:t>
      </w:r>
    </w:p>
    <w:p w14:paraId="265D09D7" w14:textId="4D6FA5BB" w:rsidR="00F60B5F" w:rsidRDefault="009A2B77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(A.2) </w:t>
      </w:r>
      <w:r w:rsidR="00F60B5F">
        <w:rPr>
          <w:rFonts w:cstheme="minorHAnsi"/>
        </w:rPr>
        <w:t xml:space="preserve">Zadavatel si vyhrazuje právo na </w:t>
      </w:r>
      <w:r>
        <w:rPr>
          <w:rFonts w:cstheme="minorHAnsi"/>
        </w:rPr>
        <w:t xml:space="preserve">doplnění výše uvedeného přehledu, pokud to shledá jako odůvodněné. Zadavatel si dále vyhrazuje právo požadovat po účastnících úpravu technické úrovně dané komponenty, pakliže ji řádně odůvodní.   </w:t>
      </w:r>
    </w:p>
    <w:p w14:paraId="4F35E7DA" w14:textId="7E1A01B2" w:rsidR="009A2B77" w:rsidRDefault="009A2B77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(A.3) Konkretizace výše uvedených komponent ze strany dodavatele v rámci konečné nabídky je neměnná a stane se závaznou specifikací díla</w:t>
      </w:r>
      <w:r w:rsidR="00D27ED9">
        <w:rPr>
          <w:rFonts w:cstheme="minorHAnsi"/>
        </w:rPr>
        <w:t xml:space="preserve"> upravenou smlouvou o dílo</w:t>
      </w:r>
      <w:r>
        <w:rPr>
          <w:rFonts w:cstheme="minorHAnsi"/>
        </w:rPr>
        <w:t xml:space="preserve">. </w:t>
      </w:r>
    </w:p>
    <w:p w14:paraId="215DD108" w14:textId="276310A3" w:rsidR="009A2B77" w:rsidRPr="005E0AC1" w:rsidRDefault="009A2B77" w:rsidP="009A2B77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Pr="005E0AC1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Požadované doklady v rámci předání realizační projektové dokumentace</w:t>
      </w:r>
    </w:p>
    <w:p w14:paraId="346A9FE9" w14:textId="46238850" w:rsidR="00F60B5F" w:rsidRDefault="009A2B77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(B.1) </w:t>
      </w:r>
      <w:r w:rsidR="00D27ED9">
        <w:rPr>
          <w:rFonts w:cstheme="minorHAnsi"/>
        </w:rPr>
        <w:t xml:space="preserve">Po </w:t>
      </w:r>
      <w:r w:rsidR="0092156C">
        <w:rPr>
          <w:rFonts w:cstheme="minorHAnsi"/>
        </w:rPr>
        <w:t xml:space="preserve">účinnosti </w:t>
      </w:r>
      <w:r w:rsidR="00D27ED9">
        <w:rPr>
          <w:rFonts w:cstheme="minorHAnsi"/>
        </w:rPr>
        <w:t xml:space="preserve">smlouvy bude dodavatel vázán do 3 měsíců vyhotovit a zadavateli/objednateli předložit projektovou dokumentaci </w:t>
      </w:r>
      <w:r w:rsidR="00CC7E08">
        <w:rPr>
          <w:rFonts w:cstheme="minorHAnsi"/>
        </w:rPr>
        <w:t xml:space="preserve">pro provádění stavby </w:t>
      </w:r>
      <w:r w:rsidR="00D27ED9">
        <w:rPr>
          <w:rFonts w:cstheme="minorHAnsi"/>
        </w:rPr>
        <w:t>(dále jen „</w:t>
      </w:r>
      <w:r w:rsidR="00D27ED9" w:rsidRPr="00A978A1">
        <w:rPr>
          <w:rFonts w:cstheme="minorHAnsi"/>
          <w:b/>
          <w:bCs/>
        </w:rPr>
        <w:t>D</w:t>
      </w:r>
      <w:r w:rsidR="00CC7E08" w:rsidRPr="00A978A1">
        <w:rPr>
          <w:rFonts w:cstheme="minorHAnsi"/>
          <w:b/>
          <w:bCs/>
        </w:rPr>
        <w:t>P</w:t>
      </w:r>
      <w:r w:rsidR="00D27ED9" w:rsidRPr="00A978A1">
        <w:rPr>
          <w:rFonts w:cstheme="minorHAnsi"/>
          <w:b/>
          <w:bCs/>
        </w:rPr>
        <w:t>S</w:t>
      </w:r>
      <w:r w:rsidR="00D27ED9">
        <w:rPr>
          <w:rFonts w:cstheme="minorHAnsi"/>
        </w:rPr>
        <w:t>“)</w:t>
      </w:r>
      <w:r w:rsidR="00CC7E08">
        <w:rPr>
          <w:rFonts w:cstheme="minorHAnsi"/>
        </w:rPr>
        <w:t xml:space="preserve"> </w:t>
      </w:r>
      <w:r w:rsidR="00CC7E08" w:rsidRPr="003B13A4">
        <w:rPr>
          <w:rFonts w:cstheme="minorHAnsi"/>
        </w:rPr>
        <w:t>dle vyhlášky č. 131/2024 Sb. o dokumentaci staveb a</w:t>
      </w:r>
      <w:r w:rsidR="0092156C">
        <w:rPr>
          <w:rFonts w:cstheme="minorHAnsi"/>
        </w:rPr>
        <w:t xml:space="preserve"> případných</w:t>
      </w:r>
      <w:r w:rsidR="00CC7E08" w:rsidRPr="003B13A4">
        <w:rPr>
          <w:rFonts w:cstheme="minorHAnsi"/>
        </w:rPr>
        <w:t xml:space="preserve"> podmínek dotačního titulu, který zhotovitel hodlá na kofinancování nákladů Díla využít</w:t>
      </w:r>
      <w:r w:rsidR="0092156C">
        <w:rPr>
          <w:rFonts w:cstheme="minorHAnsi"/>
        </w:rPr>
        <w:t xml:space="preserve"> ((Zadavatel poskytne nezbytnou součinnost k zapracování případných podmínek dotačního titulu)</w:t>
      </w:r>
      <w:r w:rsidR="00D27ED9" w:rsidRPr="003B13A4">
        <w:rPr>
          <w:rFonts w:cstheme="minorHAnsi"/>
        </w:rPr>
        <w:t>.</w:t>
      </w:r>
      <w:r w:rsidR="00D27ED9">
        <w:rPr>
          <w:rFonts w:cstheme="minorHAnsi"/>
        </w:rPr>
        <w:t xml:space="preserve"> </w:t>
      </w:r>
      <w:r w:rsidR="00985688">
        <w:rPr>
          <w:rFonts w:cstheme="minorHAnsi"/>
        </w:rPr>
        <w:t xml:space="preserve">V ní rozpracuje a zpřesní pojetí </w:t>
      </w:r>
      <w:r w:rsidR="009239BF">
        <w:rPr>
          <w:rFonts w:cstheme="minorHAnsi"/>
        </w:rPr>
        <w:t>D</w:t>
      </w:r>
      <w:r w:rsidR="00985688">
        <w:rPr>
          <w:rFonts w:cstheme="minorHAnsi"/>
        </w:rPr>
        <w:t>íla tak, aby jej bylo možné provést</w:t>
      </w:r>
      <w:r w:rsidR="006D665B">
        <w:rPr>
          <w:rFonts w:cstheme="minorHAnsi"/>
        </w:rPr>
        <w:t>, a to při respektování již vyhotovené dokumentace a vydaného pravomocného povolení záměru včetně podmínek dotčených institucí uvedených v závazných stanoviscích</w:t>
      </w:r>
      <w:r w:rsidR="00985688">
        <w:rPr>
          <w:rFonts w:cstheme="minorHAnsi"/>
        </w:rPr>
        <w:t xml:space="preserve">. </w:t>
      </w:r>
      <w:r w:rsidR="009239BF">
        <w:rPr>
          <w:rFonts w:cstheme="minorHAnsi"/>
        </w:rPr>
        <w:t>Zadavatel/objednatel si vyhrazuje právo na úpravu dokumentace, pokud konkrétní řešení nebude z technických či jiných důvodů vyhovující. Jestliže to bude znamenat dodatečné náklady, smluvní strany s podporou technického dozoru stavebníka (dále jen „</w:t>
      </w:r>
      <w:r w:rsidR="009239BF" w:rsidRPr="00A978A1">
        <w:rPr>
          <w:rFonts w:cstheme="minorHAnsi"/>
          <w:b/>
          <w:bCs/>
        </w:rPr>
        <w:t>TDS</w:t>
      </w:r>
      <w:r w:rsidR="009239BF">
        <w:rPr>
          <w:rFonts w:cstheme="minorHAnsi"/>
        </w:rPr>
        <w:t xml:space="preserve">“) se dohodnou na úpravě výkazu výměr objektivním způsobem.  </w:t>
      </w:r>
      <w:r w:rsidR="00985688">
        <w:rPr>
          <w:rFonts w:cstheme="minorHAnsi"/>
        </w:rPr>
        <w:t xml:space="preserve">  </w:t>
      </w:r>
      <w:r w:rsidR="00D27ED9">
        <w:rPr>
          <w:rFonts w:cstheme="minorHAnsi"/>
        </w:rPr>
        <w:t xml:space="preserve">   </w:t>
      </w:r>
    </w:p>
    <w:p w14:paraId="54DE144F" w14:textId="157318FD" w:rsidR="009239BF" w:rsidRDefault="00D27ED9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lastRenderedPageBreak/>
        <w:t xml:space="preserve">(B.2) </w:t>
      </w:r>
      <w:r w:rsidR="00985688">
        <w:rPr>
          <w:rFonts w:cstheme="minorHAnsi"/>
        </w:rPr>
        <w:t>Součástí D</w:t>
      </w:r>
      <w:r w:rsidR="00CC7E08">
        <w:rPr>
          <w:rFonts w:cstheme="minorHAnsi"/>
        </w:rPr>
        <w:t>P</w:t>
      </w:r>
      <w:r w:rsidR="00985688">
        <w:rPr>
          <w:rFonts w:cstheme="minorHAnsi"/>
        </w:rPr>
        <w:t>S bud</w:t>
      </w:r>
      <w:r w:rsidR="009239BF">
        <w:rPr>
          <w:rFonts w:cstheme="minorHAnsi"/>
        </w:rPr>
        <w:t>e</w:t>
      </w:r>
      <w:r w:rsidR="00985688">
        <w:rPr>
          <w:rFonts w:cstheme="minorHAnsi"/>
        </w:rPr>
        <w:t xml:space="preserve"> </w:t>
      </w:r>
      <w:r w:rsidR="009239BF">
        <w:rPr>
          <w:rFonts w:cstheme="minorHAnsi"/>
        </w:rPr>
        <w:t xml:space="preserve">aktualizovaný výkaz výměr obsahující kromě aktualizovaných technických jednotek i jednoznačnou konkretizaci </w:t>
      </w:r>
      <w:r w:rsidR="00985688">
        <w:rPr>
          <w:rFonts w:cstheme="minorHAnsi"/>
        </w:rPr>
        <w:t xml:space="preserve">všech komponent </w:t>
      </w:r>
      <w:r w:rsidR="009239BF">
        <w:rPr>
          <w:rFonts w:cstheme="minorHAnsi"/>
        </w:rPr>
        <w:t>(materiálů), které budou použity pro realizaci Díla</w:t>
      </w:r>
      <w:r w:rsidR="00985688">
        <w:rPr>
          <w:rFonts w:cstheme="minorHAnsi"/>
        </w:rPr>
        <w:t xml:space="preserve">. Objednatel si </w:t>
      </w:r>
      <w:r w:rsidR="009239BF">
        <w:rPr>
          <w:rFonts w:cstheme="minorHAnsi"/>
        </w:rPr>
        <w:t xml:space="preserve">přitom </w:t>
      </w:r>
      <w:r w:rsidR="00985688">
        <w:rPr>
          <w:rFonts w:cstheme="minorHAnsi"/>
        </w:rPr>
        <w:t xml:space="preserve">vyhrazuje právo na výměnu konkrétního výrobku, pokud </w:t>
      </w:r>
      <w:r w:rsidR="009239BF">
        <w:rPr>
          <w:rFonts w:cstheme="minorHAnsi"/>
        </w:rPr>
        <w:t xml:space="preserve">bude přesvědčen, že existuje jiný technicky či jinak vhodnější model, a tato změna se příslušným způsobem promítne do výkazu výměr. </w:t>
      </w:r>
    </w:p>
    <w:p w14:paraId="7758239C" w14:textId="3C4FD7A3" w:rsidR="009239BF" w:rsidRDefault="009239BF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(B.3) </w:t>
      </w:r>
      <w:r w:rsidR="00D62745">
        <w:rPr>
          <w:rFonts w:cstheme="minorHAnsi"/>
        </w:rPr>
        <w:t xml:space="preserve">Změna </w:t>
      </w:r>
      <w:r>
        <w:rPr>
          <w:rFonts w:cstheme="minorHAnsi"/>
        </w:rPr>
        <w:t>některé z komponent uvedené v odst. A.1</w:t>
      </w:r>
      <w:r w:rsidR="00D62745">
        <w:rPr>
          <w:rFonts w:cstheme="minorHAnsi"/>
        </w:rPr>
        <w:t xml:space="preserve"> není v rámci přípravy D</w:t>
      </w:r>
      <w:r w:rsidR="00CC7E08">
        <w:rPr>
          <w:rFonts w:cstheme="minorHAnsi"/>
        </w:rPr>
        <w:t>P</w:t>
      </w:r>
      <w:r w:rsidR="00D62745">
        <w:rPr>
          <w:rFonts w:cstheme="minorHAnsi"/>
        </w:rPr>
        <w:t>S přípustná</w:t>
      </w:r>
      <w:r>
        <w:rPr>
          <w:rFonts w:cstheme="minorHAnsi"/>
        </w:rPr>
        <w:t>,</w:t>
      </w:r>
      <w:r w:rsidR="00D62745">
        <w:rPr>
          <w:rFonts w:cstheme="minorHAnsi"/>
        </w:rPr>
        <w:t xml:space="preserve"> pakliže k tomu nebudou objektivní důvody, které nemohl dodavatel v době předložení nabídky znát či tušit. </w:t>
      </w:r>
    </w:p>
    <w:p w14:paraId="2CAAF7E4" w14:textId="28F49B75" w:rsidR="00D62745" w:rsidRPr="005E0AC1" w:rsidRDefault="00D62745" w:rsidP="00D62745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Pr="005E0AC1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Požadované doklady v rámci průběhu realizace Díla</w:t>
      </w:r>
    </w:p>
    <w:p w14:paraId="5D2A29BB" w14:textId="61F90165" w:rsidR="00103A96" w:rsidRPr="00593D4B" w:rsidRDefault="00D62745" w:rsidP="00103A96">
      <w:pPr>
        <w:spacing w:after="100" w:afterAutospacing="1"/>
        <w:outlineLvl w:val="1"/>
        <w:rPr>
          <w:rFonts w:cstheme="minorHAnsi"/>
        </w:rPr>
      </w:pPr>
      <w:r w:rsidRPr="00593D4B">
        <w:rPr>
          <w:rFonts w:cstheme="minorHAnsi"/>
        </w:rPr>
        <w:t xml:space="preserve">(C.1) </w:t>
      </w:r>
      <w:r w:rsidR="005E0AC1" w:rsidRPr="00593D4B">
        <w:rPr>
          <w:rFonts w:cstheme="minorHAnsi"/>
        </w:rPr>
        <w:t xml:space="preserve">Při každé dodávce </w:t>
      </w:r>
      <w:r w:rsidRPr="00593D4B">
        <w:rPr>
          <w:rFonts w:cstheme="minorHAnsi"/>
        </w:rPr>
        <w:t xml:space="preserve">potrubí </w:t>
      </w:r>
      <w:r w:rsidR="005E0AC1" w:rsidRPr="00593D4B">
        <w:rPr>
          <w:rFonts w:cstheme="minorHAnsi"/>
        </w:rPr>
        <w:t xml:space="preserve">určeného k zabudování je dodavatel </w:t>
      </w:r>
      <w:r w:rsidRPr="00593D4B">
        <w:rPr>
          <w:rFonts w:cstheme="minorHAnsi"/>
        </w:rPr>
        <w:t xml:space="preserve">objednateli a současně TDS </w:t>
      </w:r>
      <w:r w:rsidR="005E0AC1" w:rsidRPr="00593D4B">
        <w:rPr>
          <w:rFonts w:cstheme="minorHAnsi"/>
        </w:rPr>
        <w:t xml:space="preserve">povinen </w:t>
      </w:r>
      <w:proofErr w:type="gramStart"/>
      <w:r w:rsidR="005E0AC1" w:rsidRPr="00593D4B">
        <w:rPr>
          <w:rFonts w:cstheme="minorHAnsi"/>
        </w:rPr>
        <w:t xml:space="preserve">předložit </w:t>
      </w:r>
      <w:r w:rsidRPr="00593D4B">
        <w:rPr>
          <w:rFonts w:cstheme="minorHAnsi"/>
        </w:rPr>
        <w:t>- ke</w:t>
      </w:r>
      <w:proofErr w:type="gramEnd"/>
      <w:r w:rsidRPr="00593D4B">
        <w:rPr>
          <w:rFonts w:cstheme="minorHAnsi"/>
        </w:rPr>
        <w:t xml:space="preserve"> kontrole a </w:t>
      </w:r>
      <w:proofErr w:type="gramStart"/>
      <w:r w:rsidRPr="00593D4B">
        <w:rPr>
          <w:rFonts w:cstheme="minorHAnsi"/>
        </w:rPr>
        <w:t xml:space="preserve">odsouhlasení - </w:t>
      </w:r>
      <w:r w:rsidR="005E0AC1" w:rsidRPr="00593D4B">
        <w:rPr>
          <w:rFonts w:cstheme="minorHAnsi"/>
        </w:rPr>
        <w:t>úplné</w:t>
      </w:r>
      <w:proofErr w:type="gramEnd"/>
      <w:r w:rsidR="005E0AC1" w:rsidRPr="00593D4B">
        <w:rPr>
          <w:rFonts w:cstheme="minorHAnsi"/>
        </w:rPr>
        <w:t xml:space="preserve"> a</w:t>
      </w:r>
      <w:r w:rsidR="0067114D" w:rsidRPr="00593D4B">
        <w:rPr>
          <w:rFonts w:cstheme="minorHAnsi"/>
        </w:rPr>
        <w:t> </w:t>
      </w:r>
      <w:r w:rsidR="005E0AC1" w:rsidRPr="00593D4B">
        <w:rPr>
          <w:rFonts w:cstheme="minorHAnsi"/>
        </w:rPr>
        <w:t>správné materiálové certifikáty vztahující se ke konkrétní dodané šarži nebo tavbě</w:t>
      </w:r>
      <w:r w:rsidR="00593D4B" w:rsidRPr="00593D4B">
        <w:rPr>
          <w:rFonts w:cstheme="minorHAnsi"/>
        </w:rPr>
        <w:t xml:space="preserve"> (certifikáty </w:t>
      </w:r>
      <w:r w:rsidR="00103A96" w:rsidRPr="00593D4B">
        <w:rPr>
          <w:rFonts w:cstheme="minorHAnsi"/>
        </w:rPr>
        <w:t>3.1.</w:t>
      </w:r>
      <w:r w:rsidR="00593D4B" w:rsidRPr="00593D4B">
        <w:rPr>
          <w:rFonts w:cstheme="minorHAnsi"/>
        </w:rPr>
        <w:t xml:space="preserve"> dle EN 10204). </w:t>
      </w:r>
      <w:r w:rsidR="00103A96" w:rsidRPr="00593D4B">
        <w:rPr>
          <w:rFonts w:cstheme="minorHAnsi"/>
        </w:rPr>
        <w:t xml:space="preserve"> Tento požadavek se vztahuje jak na bezešvé, tak na svařované trubky vyráběné podle příslušných norem. Každý kus potrubí musí být jednoznačně identifikovatelný prostřednictvím čísla tavby a dalších údajů umožňujících ověření původu a vlastností materiálu.</w:t>
      </w:r>
      <w:r w:rsidR="00593D4B" w:rsidRPr="00593D4B">
        <w:rPr>
          <w:rFonts w:cstheme="minorHAnsi"/>
        </w:rPr>
        <w:t xml:space="preserve"> Obdobným způsobem je toto požadováno také na </w:t>
      </w:r>
      <w:r w:rsidR="00593D4B">
        <w:rPr>
          <w:rFonts w:cstheme="minorHAnsi"/>
        </w:rPr>
        <w:t xml:space="preserve">všechny ostatní komponenty potrubních tras, pakliže k nim výrobce materiálový certifikát standardně vydává (tj. např. na </w:t>
      </w:r>
      <w:r w:rsidR="00593D4B" w:rsidRPr="00593D4B">
        <w:rPr>
          <w:rFonts w:cstheme="minorHAnsi"/>
        </w:rPr>
        <w:t>kolena, redukce,</w:t>
      </w:r>
      <w:r w:rsidR="00593D4B">
        <w:rPr>
          <w:rFonts w:cstheme="minorHAnsi"/>
        </w:rPr>
        <w:t xml:space="preserve"> odbočky,</w:t>
      </w:r>
      <w:r w:rsidR="00593D4B" w:rsidRPr="00593D4B">
        <w:rPr>
          <w:rFonts w:cstheme="minorHAnsi"/>
        </w:rPr>
        <w:t xml:space="preserve"> příruby</w:t>
      </w:r>
      <w:r w:rsidR="00593D4B">
        <w:rPr>
          <w:rFonts w:cstheme="minorHAnsi"/>
        </w:rPr>
        <w:t>,</w:t>
      </w:r>
      <w:r w:rsidR="00593D4B" w:rsidRPr="00593D4B">
        <w:rPr>
          <w:rFonts w:cstheme="minorHAnsi"/>
        </w:rPr>
        <w:t xml:space="preserve"> </w:t>
      </w:r>
      <w:r w:rsidR="00593D4B">
        <w:rPr>
          <w:rFonts w:cstheme="minorHAnsi"/>
        </w:rPr>
        <w:t>uzavírací ventily, zpětné klapky,</w:t>
      </w:r>
      <w:r w:rsidR="00593D4B" w:rsidRPr="00593D4B">
        <w:rPr>
          <w:rFonts w:cstheme="minorHAnsi"/>
        </w:rPr>
        <w:t xml:space="preserve"> kompenzátory</w:t>
      </w:r>
      <w:r w:rsidR="00593D4B">
        <w:rPr>
          <w:rFonts w:cstheme="minorHAnsi"/>
        </w:rPr>
        <w:t xml:space="preserve"> ad.)</w:t>
      </w:r>
      <w:r w:rsidR="00593D4B" w:rsidRPr="00593D4B">
        <w:rPr>
          <w:rFonts w:cstheme="minorHAnsi"/>
        </w:rPr>
        <w:t xml:space="preserve">. Každá komponenta bude doložena certifikátem, v němž budou výrobcem deklarovány </w:t>
      </w:r>
      <w:r w:rsidR="00103A96" w:rsidRPr="00593D4B">
        <w:rPr>
          <w:rFonts w:cstheme="minorHAnsi"/>
        </w:rPr>
        <w:t xml:space="preserve">údaje o materiálu, </w:t>
      </w:r>
      <w:r w:rsidR="00593D4B">
        <w:rPr>
          <w:rFonts w:cstheme="minorHAnsi"/>
        </w:rPr>
        <w:t xml:space="preserve">ze kterého je vyrobena, </w:t>
      </w:r>
      <w:r w:rsidR="00103A96" w:rsidRPr="00593D4B">
        <w:rPr>
          <w:rFonts w:cstheme="minorHAnsi"/>
        </w:rPr>
        <w:t>čísle tavby a normě, podle které je vyrobena, aby byla zajištěna dohledatelnost v rámci systému řízení kvality.</w:t>
      </w:r>
    </w:p>
    <w:p w14:paraId="04E4EB53" w14:textId="43333D5F" w:rsidR="00593D4B" w:rsidRDefault="00593D4B" w:rsidP="00593D4B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F5302E">
        <w:rPr>
          <w:rFonts w:cstheme="minorHAnsi"/>
        </w:rPr>
        <w:t>2</w:t>
      </w:r>
      <w:r>
        <w:rPr>
          <w:rFonts w:cstheme="minorHAnsi"/>
        </w:rPr>
        <w:t xml:space="preserve">) </w:t>
      </w:r>
      <w:r w:rsidRPr="005F52ED">
        <w:rPr>
          <w:rFonts w:cstheme="minorHAnsi"/>
        </w:rPr>
        <w:t xml:space="preserve">Materiálové certifikáty musí být </w:t>
      </w:r>
      <w:r w:rsidR="00F5302E">
        <w:rPr>
          <w:rFonts w:cstheme="minorHAnsi"/>
        </w:rPr>
        <w:t xml:space="preserve">dodavatelem předány k dispozici </w:t>
      </w:r>
      <w:r w:rsidRPr="005F52ED">
        <w:rPr>
          <w:rFonts w:cstheme="minorHAnsi"/>
        </w:rPr>
        <w:t>v</w:t>
      </w:r>
      <w:r>
        <w:rPr>
          <w:rFonts w:cstheme="minorHAnsi"/>
        </w:rPr>
        <w:t xml:space="preserve"> tištěné i </w:t>
      </w:r>
      <w:r w:rsidRPr="005F52ED">
        <w:rPr>
          <w:rFonts w:cstheme="minorHAnsi"/>
        </w:rPr>
        <w:t>digitální podobě ve formátu PDF, a to v přehledné adresářové struktuře, která odpovídá členění jednotlivých druhů komponent (např. potrubí, armatury, příruby a ostatní). Každý certifikát musí obsahovat identifikaci výrobce, číslo tavby nebo šarže, chemické složení a</w:t>
      </w:r>
      <w:r>
        <w:rPr>
          <w:rFonts w:cstheme="minorHAnsi"/>
        </w:rPr>
        <w:t> </w:t>
      </w:r>
      <w:r w:rsidRPr="005F52ED">
        <w:rPr>
          <w:rFonts w:cstheme="minorHAnsi"/>
        </w:rPr>
        <w:t>mechanické vlastnosti, odkaz na normu výroby a potvrzení o souladu s požadavky objednávky. Certifikace musí být provedena v souladu s požadavky normy EN 10204; certifikáty typu 3.1 musí být ověřeny autorizovanou osobou výrobce. Neúplné, chybně označené nebo nečitelné certifikáty nebudou uznány.</w:t>
      </w:r>
    </w:p>
    <w:p w14:paraId="6A003A96" w14:textId="1C657374" w:rsidR="00F5302E" w:rsidRDefault="00593D4B" w:rsidP="00593D4B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F5302E">
        <w:rPr>
          <w:rFonts w:cstheme="minorHAnsi"/>
        </w:rPr>
        <w:t>3</w:t>
      </w:r>
      <w:r>
        <w:rPr>
          <w:rFonts w:cstheme="minorHAnsi"/>
        </w:rPr>
        <w:t xml:space="preserve">) </w:t>
      </w:r>
      <w:r w:rsidRPr="005E0AC1">
        <w:rPr>
          <w:rFonts w:cstheme="minorHAnsi"/>
        </w:rPr>
        <w:t>V průběhu montáže je dodavatel povinen udržovat a spravovat materiálové certifikáty tak, aby byla kdykoli doložitelná úplná sledovatelnost jednotlivých komponent. Certifikáty musí být provázány s</w:t>
      </w:r>
      <w:r>
        <w:rPr>
          <w:rFonts w:cstheme="minorHAnsi"/>
        </w:rPr>
        <w:t> D</w:t>
      </w:r>
      <w:r w:rsidR="00CC7E08">
        <w:rPr>
          <w:rFonts w:cstheme="minorHAnsi"/>
        </w:rPr>
        <w:t>P</w:t>
      </w:r>
      <w:r>
        <w:rPr>
          <w:rFonts w:cstheme="minorHAnsi"/>
        </w:rPr>
        <w:t>S</w:t>
      </w:r>
      <w:r w:rsidRPr="005E0AC1">
        <w:rPr>
          <w:rFonts w:cstheme="minorHAnsi"/>
        </w:rPr>
        <w:t xml:space="preserve"> </w:t>
      </w:r>
      <w:r>
        <w:rPr>
          <w:rFonts w:cstheme="minorHAnsi"/>
        </w:rPr>
        <w:t>tak, aby bylo</w:t>
      </w:r>
      <w:r w:rsidRPr="005E0AC1">
        <w:rPr>
          <w:rFonts w:cstheme="minorHAnsi"/>
        </w:rPr>
        <w:t xml:space="preserve"> </w:t>
      </w:r>
      <w:r>
        <w:rPr>
          <w:rFonts w:cstheme="minorHAnsi"/>
        </w:rPr>
        <w:t xml:space="preserve">možné </w:t>
      </w:r>
      <w:r w:rsidRPr="005E0AC1">
        <w:rPr>
          <w:rFonts w:cstheme="minorHAnsi"/>
        </w:rPr>
        <w:t>jednoznačně určit, které komponenty byly použity na</w:t>
      </w:r>
      <w:r>
        <w:rPr>
          <w:rFonts w:cstheme="minorHAnsi"/>
        </w:rPr>
        <w:t> </w:t>
      </w:r>
      <w:r w:rsidRPr="005E0AC1">
        <w:rPr>
          <w:rFonts w:cstheme="minorHAnsi"/>
        </w:rPr>
        <w:t>konkrétních pozicích potrubních tras a k nim přiřazen</w:t>
      </w:r>
      <w:r>
        <w:rPr>
          <w:rFonts w:cstheme="minorHAnsi"/>
        </w:rPr>
        <w:t>é</w:t>
      </w:r>
      <w:r w:rsidRPr="005E0AC1">
        <w:rPr>
          <w:rFonts w:cstheme="minorHAnsi"/>
        </w:rPr>
        <w:t xml:space="preserve"> certifikát</w:t>
      </w:r>
      <w:r>
        <w:rPr>
          <w:rFonts w:cstheme="minorHAnsi"/>
        </w:rPr>
        <w:t>y</w:t>
      </w:r>
      <w:r w:rsidRPr="005E0AC1">
        <w:rPr>
          <w:rFonts w:cstheme="minorHAnsi"/>
        </w:rPr>
        <w:t xml:space="preserve">. </w:t>
      </w:r>
    </w:p>
    <w:p w14:paraId="273C2CCB" w14:textId="1A03F749" w:rsidR="00F5302E" w:rsidRPr="005E0AC1" w:rsidRDefault="00F5302E" w:rsidP="00F5302E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(C.4) </w:t>
      </w:r>
      <w:r w:rsidR="00593D4B">
        <w:rPr>
          <w:rFonts w:cstheme="minorHAnsi"/>
        </w:rPr>
        <w:t xml:space="preserve">Objednatel sám a/nebo TDS </w:t>
      </w:r>
      <w:r w:rsidR="00103A96" w:rsidRPr="005F52ED">
        <w:rPr>
          <w:rFonts w:cstheme="minorHAnsi"/>
        </w:rPr>
        <w:t>je oprávněn provádět kontrolu certifikátů i samotných komponent v průběhu montážních prací. V případě zjištění nesouladu mezi certifikátem a dodaným komponentem nebo v případě neúplné dokumentace je dodavatel povinen zjednat nápravu nebo komponent vyměnit. Porušení těchto povinností je považováno za porušení smluvních podmínek</w:t>
      </w:r>
      <w:r>
        <w:rPr>
          <w:rFonts w:cstheme="minorHAnsi"/>
        </w:rPr>
        <w:t>, bude předmětem smluvní pokuty a dotyčný materiál bude muset být demontován a nahrazen z</w:t>
      </w:r>
      <w:r w:rsidR="00A40B05">
        <w:rPr>
          <w:rFonts w:cstheme="minorHAnsi"/>
        </w:rPr>
        <w:t>a</w:t>
      </w:r>
      <w:r>
        <w:rPr>
          <w:rFonts w:cstheme="minorHAnsi"/>
        </w:rPr>
        <w:t xml:space="preserve"> nový, odpovídající výše uvedeným podmínkám</w:t>
      </w:r>
      <w:r w:rsidRPr="005E0AC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76D3A57" w14:textId="250EDC31" w:rsidR="00D62745" w:rsidRPr="005E0AC1" w:rsidRDefault="00D62745" w:rsidP="00D62745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Pr="005E0AC1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Požadované doklady k dokončení </w:t>
      </w:r>
      <w:r w:rsidR="006D665B">
        <w:rPr>
          <w:rFonts w:cstheme="minorHAnsi"/>
          <w:b/>
          <w:bCs/>
        </w:rPr>
        <w:t xml:space="preserve">a předání </w:t>
      </w:r>
      <w:r>
        <w:rPr>
          <w:rFonts w:cstheme="minorHAnsi"/>
          <w:b/>
          <w:bCs/>
        </w:rPr>
        <w:t>Díla</w:t>
      </w:r>
    </w:p>
    <w:p w14:paraId="2089C4DC" w14:textId="1EC017F2" w:rsidR="00A40B05" w:rsidRDefault="00F65BDC" w:rsidP="005E0AC1">
      <w:pPr>
        <w:spacing w:after="100" w:afterAutospacing="1"/>
        <w:outlineLvl w:val="1"/>
        <w:rPr>
          <w:rFonts w:cstheme="minorHAnsi"/>
        </w:rPr>
      </w:pPr>
      <w:r w:rsidRPr="00A40B05">
        <w:rPr>
          <w:rFonts w:cstheme="minorHAnsi"/>
        </w:rPr>
        <w:t>(</w:t>
      </w:r>
      <w:r w:rsidR="00D62745" w:rsidRPr="00A40B05">
        <w:rPr>
          <w:rFonts w:cstheme="minorHAnsi"/>
        </w:rPr>
        <w:t>D</w:t>
      </w:r>
      <w:r w:rsidRPr="00A40B05">
        <w:rPr>
          <w:rFonts w:cstheme="minorHAnsi"/>
        </w:rPr>
        <w:t>.</w:t>
      </w:r>
      <w:r w:rsidR="00D62745" w:rsidRPr="00A40B05">
        <w:rPr>
          <w:rFonts w:cstheme="minorHAnsi"/>
        </w:rPr>
        <w:t>1</w:t>
      </w:r>
      <w:r w:rsidRPr="00A40B05">
        <w:rPr>
          <w:rFonts w:cstheme="minorHAnsi"/>
        </w:rPr>
        <w:t xml:space="preserve">) </w:t>
      </w:r>
      <w:r w:rsidR="00A40B05" w:rsidRPr="00A40B05">
        <w:rPr>
          <w:rFonts w:cstheme="minorHAnsi"/>
        </w:rPr>
        <w:t xml:space="preserve">V rámci procesu </w:t>
      </w:r>
      <w:r w:rsidR="00A40B05">
        <w:rPr>
          <w:rFonts w:cstheme="minorHAnsi"/>
        </w:rPr>
        <w:t>řádného dokončení díla vyhotoví dodavatel dokumentaci skutečného provedení (</w:t>
      </w:r>
      <w:r w:rsidR="003B13A4">
        <w:rPr>
          <w:rFonts w:cstheme="minorHAnsi"/>
        </w:rPr>
        <w:t>dále jen „</w:t>
      </w:r>
      <w:r w:rsidR="00A40B05">
        <w:rPr>
          <w:rFonts w:cstheme="minorHAnsi"/>
        </w:rPr>
        <w:t>DSP</w:t>
      </w:r>
      <w:r w:rsidR="003B13A4">
        <w:rPr>
          <w:rFonts w:cstheme="minorHAnsi"/>
        </w:rPr>
        <w:t>“</w:t>
      </w:r>
      <w:r w:rsidR="00A40B05">
        <w:rPr>
          <w:rFonts w:cstheme="minorHAnsi"/>
        </w:rPr>
        <w:t>). V ní budou zaznamenány veškeré odchylky či změny oproti D</w:t>
      </w:r>
      <w:r w:rsidR="00CC7E08">
        <w:rPr>
          <w:rFonts w:cstheme="minorHAnsi"/>
        </w:rPr>
        <w:t>P</w:t>
      </w:r>
      <w:r w:rsidR="00A40B05">
        <w:rPr>
          <w:rFonts w:cstheme="minorHAnsi"/>
        </w:rPr>
        <w:t xml:space="preserve">S. Součástí DSP budou i doklady o veškerých použitých komponentách v rozsahu, jak je specifikováno výše. Objednatel obdrží od zhotovitele kompletní složku v písemné i elektronické podobě pro možné zdárné provedení kolaudačního řízení a budoucí archivaci. </w:t>
      </w:r>
    </w:p>
    <w:p w14:paraId="29652E55" w14:textId="126D7A93" w:rsidR="00A40B05" w:rsidRDefault="00A40B05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lastRenderedPageBreak/>
        <w:t>(D.2) Další</w:t>
      </w:r>
      <w:r w:rsidR="006D665B">
        <w:rPr>
          <w:rFonts w:cstheme="minorHAnsi"/>
        </w:rPr>
        <w:t xml:space="preserve">mi podklady, které dodavatel pro objednatel vyhotoví a v rámci procesu předání Díla objednateli v písemné a elektronické podobě předá, </w:t>
      </w:r>
      <w:r>
        <w:rPr>
          <w:rFonts w:cstheme="minorHAnsi"/>
        </w:rPr>
        <w:t>pak dále budou pro každé dílčí plnění základní instrukce řádného provozu („</w:t>
      </w:r>
      <w:r w:rsidR="006D665B">
        <w:rPr>
          <w:rFonts w:cstheme="minorHAnsi"/>
        </w:rPr>
        <w:t>P</w:t>
      </w:r>
      <w:r>
        <w:rPr>
          <w:rFonts w:cstheme="minorHAnsi"/>
        </w:rPr>
        <w:t>rovozní řád“) a plán předepsaných preventivních prohlídek a servisních úkonů (dále jen „</w:t>
      </w:r>
      <w:r w:rsidR="006D665B">
        <w:rPr>
          <w:rFonts w:cstheme="minorHAnsi"/>
        </w:rPr>
        <w:t>S</w:t>
      </w:r>
      <w:r>
        <w:rPr>
          <w:rFonts w:cstheme="minorHAnsi"/>
        </w:rPr>
        <w:t xml:space="preserve">ervisní plán“). </w:t>
      </w:r>
      <w:r w:rsidR="006D665B">
        <w:rPr>
          <w:rFonts w:cstheme="minorHAnsi"/>
        </w:rPr>
        <w:t xml:space="preserve">Dodavatel pro jmenované pracovníky Objednatele zorganizuje opakované školení, v němž podrobnosti Provozního řádu a Servisního plánu představí. </w:t>
      </w:r>
    </w:p>
    <w:p w14:paraId="05E197EB" w14:textId="5AD705D6" w:rsidR="00A40B05" w:rsidRPr="00A40B05" w:rsidRDefault="00A40B05" w:rsidP="005E0AC1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(D.3.</w:t>
      </w:r>
      <w:r w:rsidR="006D665B">
        <w:rPr>
          <w:rFonts w:cstheme="minorHAnsi"/>
        </w:rPr>
        <w:t xml:space="preserve">) Proces </w:t>
      </w:r>
      <w:r w:rsidRPr="00A40B05">
        <w:rPr>
          <w:rFonts w:cstheme="minorHAnsi"/>
        </w:rPr>
        <w:t xml:space="preserve">předání </w:t>
      </w:r>
      <w:r w:rsidR="006D665B">
        <w:rPr>
          <w:rFonts w:cstheme="minorHAnsi"/>
        </w:rPr>
        <w:t>D</w:t>
      </w:r>
      <w:r w:rsidRPr="00A40B05">
        <w:rPr>
          <w:rFonts w:cstheme="minorHAnsi"/>
        </w:rPr>
        <w:t xml:space="preserve">íla </w:t>
      </w:r>
      <w:r w:rsidR="006D665B">
        <w:rPr>
          <w:rFonts w:cstheme="minorHAnsi"/>
        </w:rPr>
        <w:t xml:space="preserve">bude podmíněn úspěšným provedením provozních </w:t>
      </w:r>
      <w:r w:rsidR="005E0AC1" w:rsidRPr="00A40B05">
        <w:rPr>
          <w:rFonts w:cstheme="minorHAnsi"/>
        </w:rPr>
        <w:t>zkouš</w:t>
      </w:r>
      <w:r w:rsidR="006D665B">
        <w:rPr>
          <w:rFonts w:cstheme="minorHAnsi"/>
        </w:rPr>
        <w:t>e</w:t>
      </w:r>
      <w:r w:rsidR="005E0AC1" w:rsidRPr="00A40B05">
        <w:rPr>
          <w:rFonts w:cstheme="minorHAnsi"/>
        </w:rPr>
        <w:t>k</w:t>
      </w:r>
      <w:r w:rsidR="006D665B">
        <w:rPr>
          <w:rFonts w:cstheme="minorHAnsi"/>
        </w:rPr>
        <w:t xml:space="preserve"> (dále jen „Funkční zkoušky“)</w:t>
      </w:r>
      <w:r w:rsidRPr="00A40B05">
        <w:rPr>
          <w:rFonts w:cstheme="minorHAnsi"/>
        </w:rPr>
        <w:t xml:space="preserve">. Jejich rozsah upravuje příloha zadávací dokumentace č. 9(c). O každé </w:t>
      </w:r>
      <w:r w:rsidR="006D665B">
        <w:rPr>
          <w:rFonts w:cstheme="minorHAnsi"/>
        </w:rPr>
        <w:t xml:space="preserve">Funkční zkoušce </w:t>
      </w:r>
      <w:r w:rsidRPr="00A40B05">
        <w:rPr>
          <w:rFonts w:cstheme="minorHAnsi"/>
        </w:rPr>
        <w:t>bude pořízen písemný protokol, který se stane příslušnou přílohou smlouvy o dílo.</w:t>
      </w:r>
      <w:r w:rsidR="00FC643F">
        <w:rPr>
          <w:rFonts w:cstheme="minorHAnsi"/>
        </w:rPr>
        <w:t xml:space="preserve"> V případě, že některá část Díla bude vykazovat závažné nedostatky, bude předepsána náprava a provedení zkoušky nové. Vady, které neovlivňují významnějším způsobem funkci dané části Díla, budou do protokolu Funkční zkoušky zaznamenány a konkretizován termín jejich odstranění. O tom, že se tak skutečně stalo, bude opětovně proveden písemný záznam odsouhlasený oběma smluvními stranami. </w:t>
      </w:r>
    </w:p>
    <w:p w14:paraId="6098CC27" w14:textId="5BA3F43C" w:rsidR="00A31157" w:rsidRDefault="00A40B05" w:rsidP="005E0AC1">
      <w:pPr>
        <w:spacing w:after="100" w:afterAutospacing="1"/>
        <w:outlineLvl w:val="1"/>
        <w:rPr>
          <w:rFonts w:cstheme="minorHAnsi"/>
        </w:rPr>
      </w:pPr>
      <w:r w:rsidRPr="00A40B05">
        <w:rPr>
          <w:rFonts w:cstheme="minorHAnsi"/>
        </w:rPr>
        <w:t>(D.</w:t>
      </w:r>
      <w:r w:rsidR="006D665B">
        <w:rPr>
          <w:rFonts w:cstheme="minorHAnsi"/>
        </w:rPr>
        <w:t>4</w:t>
      </w:r>
      <w:r w:rsidRPr="00A40B05">
        <w:rPr>
          <w:rFonts w:cstheme="minorHAnsi"/>
        </w:rPr>
        <w:t xml:space="preserve">) </w:t>
      </w:r>
      <w:r w:rsidR="006D665B">
        <w:rPr>
          <w:rFonts w:cstheme="minorHAnsi"/>
        </w:rPr>
        <w:t xml:space="preserve">Posledním klíčovým </w:t>
      </w:r>
      <w:r w:rsidR="00FC643F">
        <w:rPr>
          <w:rFonts w:cstheme="minorHAnsi"/>
        </w:rPr>
        <w:t xml:space="preserve">dokladem bude </w:t>
      </w:r>
      <w:r w:rsidR="00A31157">
        <w:rPr>
          <w:rFonts w:cstheme="minorHAnsi"/>
        </w:rPr>
        <w:t xml:space="preserve">doklad o </w:t>
      </w:r>
      <w:r w:rsidR="00FC643F">
        <w:rPr>
          <w:rFonts w:cstheme="minorHAnsi"/>
        </w:rPr>
        <w:t>řádném provedení kolaudačního řízení</w:t>
      </w:r>
      <w:r w:rsidR="00A31157">
        <w:rPr>
          <w:rFonts w:cstheme="minorHAnsi"/>
        </w:rPr>
        <w:t xml:space="preserve"> (dále jen „Kolaudační rozhodnutí“)</w:t>
      </w:r>
      <w:r w:rsidR="00FC643F">
        <w:rPr>
          <w:rFonts w:cstheme="minorHAnsi"/>
        </w:rPr>
        <w:t xml:space="preserve">. Dodavatel bude povinen kolaudační řízení vést </w:t>
      </w:r>
      <w:r w:rsidR="00A31157">
        <w:rPr>
          <w:rFonts w:cstheme="minorHAnsi"/>
        </w:rPr>
        <w:t xml:space="preserve">jménem Objednatele </w:t>
      </w:r>
      <w:r w:rsidR="00FC643F">
        <w:rPr>
          <w:rFonts w:cstheme="minorHAnsi"/>
        </w:rPr>
        <w:t xml:space="preserve">a zajistit, že výsledek </w:t>
      </w:r>
      <w:r w:rsidR="00A31157">
        <w:rPr>
          <w:rFonts w:cstheme="minorHAnsi"/>
        </w:rPr>
        <w:t xml:space="preserve">řízení </w:t>
      </w:r>
      <w:r w:rsidR="00FC643F">
        <w:rPr>
          <w:rFonts w:cstheme="minorHAnsi"/>
        </w:rPr>
        <w:t>bude kladný</w:t>
      </w:r>
      <w:r w:rsidR="00F8124B">
        <w:rPr>
          <w:rFonts w:cstheme="minorHAnsi"/>
        </w:rPr>
        <w:t>,</w:t>
      </w:r>
      <w:r w:rsidR="00FC643F">
        <w:rPr>
          <w:rFonts w:cstheme="minorHAnsi"/>
        </w:rPr>
        <w:t xml:space="preserve"> a </w:t>
      </w:r>
      <w:r w:rsidR="00A31157">
        <w:rPr>
          <w:rFonts w:cstheme="minorHAnsi"/>
        </w:rPr>
        <w:t>tedy že bude vydáno K</w:t>
      </w:r>
      <w:r w:rsidR="00FC643F">
        <w:rPr>
          <w:rFonts w:cstheme="minorHAnsi"/>
        </w:rPr>
        <w:t xml:space="preserve">olaudační rozhodnutí. Existence </w:t>
      </w:r>
      <w:r w:rsidR="00A31157">
        <w:rPr>
          <w:rFonts w:cstheme="minorHAnsi"/>
        </w:rPr>
        <w:t xml:space="preserve">pravomocného </w:t>
      </w:r>
      <w:r w:rsidR="00F8124B">
        <w:rPr>
          <w:rFonts w:cstheme="minorHAnsi"/>
        </w:rPr>
        <w:t>K</w:t>
      </w:r>
      <w:r w:rsidR="00FC643F">
        <w:rPr>
          <w:rFonts w:cstheme="minorHAnsi"/>
        </w:rPr>
        <w:t xml:space="preserve">olaudačního rozhodnutí </w:t>
      </w:r>
      <w:r w:rsidR="00A31157">
        <w:rPr>
          <w:rFonts w:cstheme="minorHAnsi"/>
        </w:rPr>
        <w:t xml:space="preserve">bude společně s úspěšně dokončenými Funkčními zkouškami prostými závažných nedostatků </w:t>
      </w:r>
      <w:r w:rsidR="00FC643F">
        <w:rPr>
          <w:rFonts w:cstheme="minorHAnsi"/>
        </w:rPr>
        <w:t xml:space="preserve">podmínkou </w:t>
      </w:r>
      <w:r w:rsidR="00A31157">
        <w:rPr>
          <w:rFonts w:cstheme="minorHAnsi"/>
        </w:rPr>
        <w:t xml:space="preserve">předání Díla (dále jen „Předávací protokol“). </w:t>
      </w:r>
    </w:p>
    <w:p w14:paraId="602ADF6F" w14:textId="719F762B" w:rsidR="005E0AC1" w:rsidRPr="00A40B05" w:rsidRDefault="00A31157" w:rsidP="00A31157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(D.5) Předávací protokol bude podepsán oběma smluvními stranami a od data podpisu obou smluvních stran započne záruční doba, jejíž délka je upravena smlouvou o dílo a nabídkou dodavatele.</w:t>
      </w:r>
      <w:bookmarkEnd w:id="2"/>
    </w:p>
    <w:sectPr w:rsidR="005E0AC1" w:rsidRPr="00A40B05" w:rsidSect="00C116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040A" w14:textId="77777777" w:rsidR="005A0F4A" w:rsidRDefault="005A0F4A" w:rsidP="00117BC0">
      <w:pPr>
        <w:spacing w:before="0" w:after="0"/>
      </w:pPr>
      <w:r>
        <w:separator/>
      </w:r>
    </w:p>
  </w:endnote>
  <w:endnote w:type="continuationSeparator" w:id="0">
    <w:p w14:paraId="5A8B440D" w14:textId="77777777" w:rsidR="005A0F4A" w:rsidRDefault="005A0F4A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931954"/>
      <w:docPartObj>
        <w:docPartGallery w:val="Page Numbers (Bottom of Page)"/>
        <w:docPartUnique/>
      </w:docPartObj>
    </w:sdtPr>
    <w:sdtContent>
      <w:p w14:paraId="0A4CC52A" w14:textId="61F9FE5D" w:rsidR="00A31157" w:rsidRDefault="00A31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06AACDF5" w14:textId="77777777" w:rsidR="00A31157" w:rsidRDefault="00A31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8E4A" w14:textId="77777777" w:rsidR="005A0F4A" w:rsidRDefault="005A0F4A" w:rsidP="00117BC0">
      <w:pPr>
        <w:spacing w:before="0" w:after="0"/>
      </w:pPr>
      <w:r>
        <w:separator/>
      </w:r>
    </w:p>
  </w:footnote>
  <w:footnote w:type="continuationSeparator" w:id="0">
    <w:p w14:paraId="0EAF253A" w14:textId="77777777" w:rsidR="005A0F4A" w:rsidRDefault="005A0F4A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65DE" w14:textId="0B209CBB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 xml:space="preserve">„Instalace tepelných čerpadel a modernizace zdrojů chladu za účelem využívání odpadního tepla – DČP č. </w:t>
    </w:r>
    <w:r w:rsidR="00601601">
      <w:rPr>
        <w:rFonts w:ascii="Candara" w:hAnsi="Candara"/>
        <w:bCs/>
        <w:caps/>
      </w:rPr>
      <w:t>2</w:t>
    </w:r>
    <w:r w:rsidRPr="008B652B">
      <w:rPr>
        <w:rFonts w:ascii="Candara" w:hAnsi="Candara"/>
        <w:bCs/>
        <w:caps/>
      </w:rPr>
      <w:t xml:space="preserve">: </w:t>
    </w:r>
    <w:r w:rsidR="00601601">
      <w:rPr>
        <w:rFonts w:ascii="Candara" w:hAnsi="Candara"/>
        <w:bCs/>
        <w:caps/>
      </w:rPr>
      <w:t>instalace zdrojů a realizace distribuce tepla</w:t>
    </w:r>
    <w:r w:rsidRPr="008B652B">
      <w:rPr>
        <w:rFonts w:ascii="Candara" w:hAnsi="Candara"/>
        <w:bCs/>
        <w:caps/>
      </w:rPr>
      <w:t>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225"/>
    <w:multiLevelType w:val="multilevel"/>
    <w:tmpl w:val="8D3CBE70"/>
    <w:lvl w:ilvl="0">
      <w:start w:val="1"/>
      <w:numFmt w:val="upperLetter"/>
      <w:lvlText w:val="%1."/>
      <w:lvlJc w:val="left"/>
      <w:pPr>
        <w:tabs>
          <w:tab w:val="num" w:pos="0"/>
        </w:tabs>
        <w:ind w:left="19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5" w:hanging="180"/>
      </w:pPr>
    </w:lvl>
  </w:abstractNum>
  <w:abstractNum w:abstractNumId="1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87849F8"/>
    <w:multiLevelType w:val="hybridMultilevel"/>
    <w:tmpl w:val="C37CEA84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C94"/>
    <w:multiLevelType w:val="hybridMultilevel"/>
    <w:tmpl w:val="9482A7CE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73736"/>
    <w:multiLevelType w:val="hybridMultilevel"/>
    <w:tmpl w:val="F13E6828"/>
    <w:lvl w:ilvl="0" w:tplc="93D01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E3079"/>
    <w:multiLevelType w:val="hybridMultilevel"/>
    <w:tmpl w:val="9452B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26961"/>
    <w:multiLevelType w:val="hybridMultilevel"/>
    <w:tmpl w:val="C626560E"/>
    <w:lvl w:ilvl="0" w:tplc="DEDA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85601">
    <w:abstractNumId w:val="1"/>
  </w:num>
  <w:num w:numId="2" w16cid:durableId="1066029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500716">
    <w:abstractNumId w:val="11"/>
  </w:num>
  <w:num w:numId="4" w16cid:durableId="817960837">
    <w:abstractNumId w:val="5"/>
  </w:num>
  <w:num w:numId="5" w16cid:durableId="1194733739">
    <w:abstractNumId w:val="7"/>
  </w:num>
  <w:num w:numId="6" w16cid:durableId="1565023471">
    <w:abstractNumId w:val="2"/>
  </w:num>
  <w:num w:numId="7" w16cid:durableId="1423723203">
    <w:abstractNumId w:val="3"/>
  </w:num>
  <w:num w:numId="8" w16cid:durableId="1460807492">
    <w:abstractNumId w:val="8"/>
  </w:num>
  <w:num w:numId="9" w16cid:durableId="1533567435">
    <w:abstractNumId w:val="6"/>
  </w:num>
  <w:num w:numId="10" w16cid:durableId="217478673">
    <w:abstractNumId w:val="4"/>
  </w:num>
  <w:num w:numId="11" w16cid:durableId="1302616963">
    <w:abstractNumId w:val="0"/>
  </w:num>
  <w:num w:numId="12" w16cid:durableId="1011837750">
    <w:abstractNumId w:val="9"/>
  </w:num>
  <w:num w:numId="13" w16cid:durableId="1987083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0004"/>
    <w:rsid w:val="00003243"/>
    <w:rsid w:val="00012EB9"/>
    <w:rsid w:val="00042255"/>
    <w:rsid w:val="0004275A"/>
    <w:rsid w:val="00047008"/>
    <w:rsid w:val="00055792"/>
    <w:rsid w:val="00074C7A"/>
    <w:rsid w:val="000A06CF"/>
    <w:rsid w:val="000A5F79"/>
    <w:rsid w:val="000D499E"/>
    <w:rsid w:val="000F6734"/>
    <w:rsid w:val="00103A96"/>
    <w:rsid w:val="001128B5"/>
    <w:rsid w:val="00117BC0"/>
    <w:rsid w:val="0015452E"/>
    <w:rsid w:val="00160493"/>
    <w:rsid w:val="00170B10"/>
    <w:rsid w:val="00173144"/>
    <w:rsid w:val="001855CC"/>
    <w:rsid w:val="001A06E7"/>
    <w:rsid w:val="001B6853"/>
    <w:rsid w:val="001C29D7"/>
    <w:rsid w:val="00210CB1"/>
    <w:rsid w:val="002342C3"/>
    <w:rsid w:val="002346FD"/>
    <w:rsid w:val="0024312C"/>
    <w:rsid w:val="00275245"/>
    <w:rsid w:val="002C569B"/>
    <w:rsid w:val="002D244D"/>
    <w:rsid w:val="002E1101"/>
    <w:rsid w:val="003430B3"/>
    <w:rsid w:val="00351333"/>
    <w:rsid w:val="00355DAE"/>
    <w:rsid w:val="0037387D"/>
    <w:rsid w:val="00374910"/>
    <w:rsid w:val="00374C27"/>
    <w:rsid w:val="0038492E"/>
    <w:rsid w:val="003B13A4"/>
    <w:rsid w:val="003C348D"/>
    <w:rsid w:val="00407D62"/>
    <w:rsid w:val="0043039F"/>
    <w:rsid w:val="004D22B6"/>
    <w:rsid w:val="004F0849"/>
    <w:rsid w:val="004F1BFC"/>
    <w:rsid w:val="004F3EF5"/>
    <w:rsid w:val="004F7793"/>
    <w:rsid w:val="00506A5D"/>
    <w:rsid w:val="00550746"/>
    <w:rsid w:val="00557702"/>
    <w:rsid w:val="00593D4B"/>
    <w:rsid w:val="00595503"/>
    <w:rsid w:val="005A0F4A"/>
    <w:rsid w:val="005E0AC1"/>
    <w:rsid w:val="005F25B3"/>
    <w:rsid w:val="005F52ED"/>
    <w:rsid w:val="00601601"/>
    <w:rsid w:val="00611BE0"/>
    <w:rsid w:val="00627B82"/>
    <w:rsid w:val="0067114D"/>
    <w:rsid w:val="006A7946"/>
    <w:rsid w:val="006B3B13"/>
    <w:rsid w:val="006D665B"/>
    <w:rsid w:val="006F017C"/>
    <w:rsid w:val="006F2D82"/>
    <w:rsid w:val="00706FFB"/>
    <w:rsid w:val="00723E1C"/>
    <w:rsid w:val="00724EFE"/>
    <w:rsid w:val="0072646D"/>
    <w:rsid w:val="0073026A"/>
    <w:rsid w:val="0073779A"/>
    <w:rsid w:val="007460C5"/>
    <w:rsid w:val="007625D1"/>
    <w:rsid w:val="00782E4B"/>
    <w:rsid w:val="007A400A"/>
    <w:rsid w:val="00802A5D"/>
    <w:rsid w:val="008103F0"/>
    <w:rsid w:val="00881F84"/>
    <w:rsid w:val="008B5852"/>
    <w:rsid w:val="008B652B"/>
    <w:rsid w:val="00904358"/>
    <w:rsid w:val="00911C1A"/>
    <w:rsid w:val="0092156C"/>
    <w:rsid w:val="009239BF"/>
    <w:rsid w:val="00943DC5"/>
    <w:rsid w:val="009819DF"/>
    <w:rsid w:val="0098288B"/>
    <w:rsid w:val="00985688"/>
    <w:rsid w:val="009A2B77"/>
    <w:rsid w:val="009D070D"/>
    <w:rsid w:val="00A06100"/>
    <w:rsid w:val="00A31157"/>
    <w:rsid w:val="00A40B05"/>
    <w:rsid w:val="00A464EB"/>
    <w:rsid w:val="00A46A06"/>
    <w:rsid w:val="00A65DCA"/>
    <w:rsid w:val="00A74D56"/>
    <w:rsid w:val="00A76684"/>
    <w:rsid w:val="00A978A1"/>
    <w:rsid w:val="00AC2C97"/>
    <w:rsid w:val="00B33556"/>
    <w:rsid w:val="00B63B2D"/>
    <w:rsid w:val="00B733F8"/>
    <w:rsid w:val="00B7340E"/>
    <w:rsid w:val="00BD0DEA"/>
    <w:rsid w:val="00C012A5"/>
    <w:rsid w:val="00C116D5"/>
    <w:rsid w:val="00C5644E"/>
    <w:rsid w:val="00C66CBB"/>
    <w:rsid w:val="00C82DFB"/>
    <w:rsid w:val="00CB4592"/>
    <w:rsid w:val="00CB5666"/>
    <w:rsid w:val="00CB7BE7"/>
    <w:rsid w:val="00CC7E08"/>
    <w:rsid w:val="00CE3A4A"/>
    <w:rsid w:val="00D0313C"/>
    <w:rsid w:val="00D03B03"/>
    <w:rsid w:val="00D27ED9"/>
    <w:rsid w:val="00D62745"/>
    <w:rsid w:val="00D82E60"/>
    <w:rsid w:val="00D93E02"/>
    <w:rsid w:val="00D97DD8"/>
    <w:rsid w:val="00DA2352"/>
    <w:rsid w:val="00DB480D"/>
    <w:rsid w:val="00DC5878"/>
    <w:rsid w:val="00DD47C6"/>
    <w:rsid w:val="00DF25BC"/>
    <w:rsid w:val="00E250E8"/>
    <w:rsid w:val="00E31F0E"/>
    <w:rsid w:val="00E339CA"/>
    <w:rsid w:val="00E37B4C"/>
    <w:rsid w:val="00E823DF"/>
    <w:rsid w:val="00E8579E"/>
    <w:rsid w:val="00E8632E"/>
    <w:rsid w:val="00E921FF"/>
    <w:rsid w:val="00ED7ED4"/>
    <w:rsid w:val="00EF215F"/>
    <w:rsid w:val="00EF6DE7"/>
    <w:rsid w:val="00F1332B"/>
    <w:rsid w:val="00F34615"/>
    <w:rsid w:val="00F5302E"/>
    <w:rsid w:val="00F60B5F"/>
    <w:rsid w:val="00F65BDC"/>
    <w:rsid w:val="00F8124B"/>
    <w:rsid w:val="00F85DDF"/>
    <w:rsid w:val="00F865A2"/>
    <w:rsid w:val="00F9276D"/>
    <w:rsid w:val="00FA450C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73026A"/>
    <w:pPr>
      <w:spacing w:after="0" w:line="240" w:lineRule="auto"/>
      <w:jc w:val="both"/>
    </w:pPr>
    <w:rPr>
      <w:rFonts w:eastAsia="Times New Roman" w:cs="Arial"/>
      <w:lang w:eastAsia="cs-CZ"/>
    </w:rPr>
  </w:style>
  <w:style w:type="paragraph" w:styleId="Revize">
    <w:name w:val="Revision"/>
    <w:hidden/>
    <w:uiPriority w:val="99"/>
    <w:semiHidden/>
    <w:rsid w:val="0092156C"/>
    <w:pPr>
      <w:spacing w:after="0" w:line="240" w:lineRule="auto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6732</Characters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2026-01-12T10:34:00Z</dcterms:created>
  <dcterms:modified xsi:type="dcterms:W3CDTF">2026-01-12T10:36:00Z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