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9265" w14:textId="4ADC397E" w:rsidR="00117BC0" w:rsidRPr="007A400A" w:rsidRDefault="00117BC0" w:rsidP="00117BC0">
      <w:pPr>
        <w:spacing w:before="0"/>
        <w:rPr>
          <w:rFonts w:ascii="Candara" w:hAnsi="Candara"/>
          <w:lang w:val="en-US"/>
        </w:rPr>
      </w:pPr>
    </w:p>
    <w:p w14:paraId="1233E5DD" w14:textId="301BC85B" w:rsidR="00117BC0" w:rsidRPr="007A400A" w:rsidRDefault="00117BC0" w:rsidP="00117BC0">
      <w:pPr>
        <w:spacing w:before="0"/>
        <w:rPr>
          <w:rFonts w:ascii="Candara" w:hAnsi="Candara"/>
          <w:lang w:val="en-US"/>
        </w:rPr>
      </w:pPr>
    </w:p>
    <w:p w14:paraId="7A6B03EC" w14:textId="16365ADD" w:rsidR="00117BC0" w:rsidRPr="007A400A" w:rsidRDefault="00117BC0" w:rsidP="00117BC0">
      <w:pPr>
        <w:spacing w:before="0"/>
        <w:rPr>
          <w:rFonts w:ascii="Candara" w:hAnsi="Candara"/>
          <w:lang w:val="en-US"/>
        </w:rPr>
      </w:pPr>
    </w:p>
    <w:p w14:paraId="76826EB7" w14:textId="77777777" w:rsidR="00117BC0" w:rsidRPr="007A400A" w:rsidRDefault="00117BC0" w:rsidP="00117BC0">
      <w:pPr>
        <w:spacing w:before="0"/>
        <w:rPr>
          <w:rFonts w:ascii="Candara" w:hAnsi="Candara"/>
          <w:lang w:val="en-US"/>
        </w:rPr>
      </w:pPr>
    </w:p>
    <w:p w14:paraId="04DE5799" w14:textId="77777777" w:rsidR="00117BC0" w:rsidRPr="007A400A" w:rsidRDefault="00117BC0" w:rsidP="00117BC0">
      <w:pPr>
        <w:spacing w:before="0"/>
        <w:rPr>
          <w:rFonts w:ascii="Candara" w:hAnsi="Candara"/>
        </w:rPr>
      </w:pPr>
    </w:p>
    <w:p w14:paraId="089BBF03" w14:textId="77777777" w:rsidR="008B652B" w:rsidRDefault="008B652B" w:rsidP="00117BC0">
      <w:pPr>
        <w:spacing w:before="0"/>
        <w:jc w:val="center"/>
        <w:rPr>
          <w:rFonts w:ascii="Candara" w:hAnsi="Candara"/>
          <w:b/>
          <w:sz w:val="72"/>
          <w:szCs w:val="72"/>
        </w:rPr>
      </w:pPr>
    </w:p>
    <w:p w14:paraId="57471629" w14:textId="78090011" w:rsidR="00117BC0" w:rsidRDefault="008B652B" w:rsidP="00C116D5">
      <w:pPr>
        <w:spacing w:before="0"/>
        <w:jc w:val="center"/>
        <w:rPr>
          <w:rFonts w:ascii="Candara" w:hAnsi="Candara"/>
          <w:b/>
          <w:sz w:val="72"/>
          <w:szCs w:val="72"/>
        </w:rPr>
      </w:pPr>
      <w:r>
        <w:rPr>
          <w:rFonts w:ascii="Candara" w:hAnsi="Candara"/>
          <w:b/>
          <w:sz w:val="72"/>
          <w:szCs w:val="72"/>
        </w:rPr>
        <w:t xml:space="preserve">Příloha č. </w:t>
      </w:r>
      <w:r w:rsidR="008B5852">
        <w:rPr>
          <w:rFonts w:ascii="Candara" w:hAnsi="Candara"/>
          <w:b/>
          <w:sz w:val="72"/>
          <w:szCs w:val="72"/>
        </w:rPr>
        <w:t>9(</w:t>
      </w:r>
      <w:r w:rsidR="00E12834">
        <w:rPr>
          <w:rFonts w:ascii="Candara" w:hAnsi="Candara"/>
          <w:b/>
          <w:sz w:val="72"/>
          <w:szCs w:val="72"/>
        </w:rPr>
        <w:t>c</w:t>
      </w:r>
      <w:r w:rsidR="008B5852">
        <w:rPr>
          <w:rFonts w:ascii="Candara" w:hAnsi="Candara"/>
          <w:b/>
          <w:sz w:val="72"/>
          <w:szCs w:val="72"/>
        </w:rPr>
        <w:t>)</w:t>
      </w:r>
    </w:p>
    <w:p w14:paraId="529228A8" w14:textId="58EE0B1C" w:rsidR="00E823DF" w:rsidRDefault="00FC6439" w:rsidP="00C116D5">
      <w:pPr>
        <w:spacing w:before="0"/>
        <w:jc w:val="center"/>
        <w:rPr>
          <w:rFonts w:ascii="Candara" w:hAnsi="Candara"/>
          <w:b/>
          <w:sz w:val="72"/>
          <w:szCs w:val="72"/>
        </w:rPr>
      </w:pPr>
      <w:r w:rsidRPr="00FC6439">
        <w:rPr>
          <w:rFonts w:ascii="Candara" w:hAnsi="Candara"/>
          <w:b/>
          <w:bCs/>
          <w:sz w:val="72"/>
          <w:szCs w:val="72"/>
        </w:rPr>
        <w:t xml:space="preserve">Specifikace </w:t>
      </w:r>
      <w:r w:rsidR="00E50B8B">
        <w:rPr>
          <w:rFonts w:ascii="Candara" w:hAnsi="Candara"/>
          <w:b/>
          <w:bCs/>
          <w:sz w:val="72"/>
          <w:szCs w:val="72"/>
        </w:rPr>
        <w:t xml:space="preserve">Funkčních </w:t>
      </w:r>
      <w:r w:rsidRPr="00FC6439">
        <w:rPr>
          <w:rFonts w:ascii="Candara" w:hAnsi="Candara"/>
          <w:b/>
          <w:bCs/>
          <w:sz w:val="72"/>
          <w:szCs w:val="72"/>
        </w:rPr>
        <w:t>zkoušek</w:t>
      </w:r>
      <w:r w:rsidR="008D2434">
        <w:rPr>
          <w:rFonts w:ascii="Candara" w:hAnsi="Candara"/>
          <w:b/>
          <w:bCs/>
          <w:sz w:val="72"/>
          <w:szCs w:val="72"/>
        </w:rPr>
        <w:t xml:space="preserve"> Díla</w:t>
      </w:r>
    </w:p>
    <w:p w14:paraId="20C3532A" w14:textId="77777777" w:rsidR="00E37EF5" w:rsidRDefault="00E37EF5" w:rsidP="00C116D5">
      <w:pPr>
        <w:spacing w:before="0"/>
        <w:jc w:val="center"/>
        <w:rPr>
          <w:rFonts w:ascii="Candara" w:hAnsi="Candara"/>
          <w:bCs/>
          <w:sz w:val="72"/>
          <w:szCs w:val="72"/>
        </w:rPr>
      </w:pPr>
    </w:p>
    <w:p w14:paraId="68CE4B51" w14:textId="5B4FD5A0" w:rsidR="00C116D5" w:rsidRPr="008B652B" w:rsidRDefault="00E823DF" w:rsidP="00C116D5">
      <w:pPr>
        <w:spacing w:before="0"/>
        <w:jc w:val="center"/>
        <w:rPr>
          <w:rFonts w:ascii="Candara" w:hAnsi="Candara"/>
          <w:sz w:val="48"/>
          <w:szCs w:val="48"/>
        </w:rPr>
      </w:pPr>
      <w:r w:rsidRPr="00E823DF">
        <w:rPr>
          <w:rFonts w:ascii="Candara" w:hAnsi="Candara"/>
          <w:bCs/>
          <w:sz w:val="72"/>
          <w:szCs w:val="72"/>
        </w:rPr>
        <w:t>(</w:t>
      </w:r>
      <w:r w:rsidR="000A06CF">
        <w:rPr>
          <w:rFonts w:ascii="Candara" w:hAnsi="Candara"/>
          <w:bCs/>
          <w:sz w:val="72"/>
          <w:szCs w:val="72"/>
        </w:rPr>
        <w:t>předběžné znění</w:t>
      </w:r>
      <w:r w:rsidRPr="00E823DF">
        <w:rPr>
          <w:rFonts w:ascii="Candara" w:hAnsi="Candara"/>
          <w:bCs/>
          <w:sz w:val="72"/>
          <w:szCs w:val="72"/>
        </w:rPr>
        <w:t>)</w:t>
      </w:r>
    </w:p>
    <w:p w14:paraId="4A996F4A" w14:textId="77777777" w:rsidR="00117BC0" w:rsidRPr="007A400A" w:rsidRDefault="00117BC0" w:rsidP="00117BC0">
      <w:pPr>
        <w:rPr>
          <w:rFonts w:ascii="Candara" w:hAnsi="Candara"/>
        </w:rPr>
      </w:pPr>
    </w:p>
    <w:p w14:paraId="7B4F4A9D" w14:textId="77777777" w:rsidR="00117BC0" w:rsidRPr="007A400A" w:rsidRDefault="00117BC0" w:rsidP="00117BC0">
      <w:pPr>
        <w:rPr>
          <w:rFonts w:ascii="Candara" w:hAnsi="Candara"/>
        </w:rPr>
      </w:pPr>
    </w:p>
    <w:p w14:paraId="70C69290" w14:textId="77777777" w:rsidR="00D93E02" w:rsidRPr="007A400A" w:rsidRDefault="00D93E02" w:rsidP="00A65DCA">
      <w:pPr>
        <w:jc w:val="center"/>
        <w:rPr>
          <w:rFonts w:ascii="Candara" w:hAnsi="Candara"/>
        </w:rPr>
      </w:pPr>
    </w:p>
    <w:p w14:paraId="7BFEB6AB" w14:textId="7CEAB1AA" w:rsidR="009D070D" w:rsidRPr="007A400A" w:rsidRDefault="009D070D">
      <w:pPr>
        <w:spacing w:before="0" w:after="160" w:line="259" w:lineRule="auto"/>
        <w:jc w:val="left"/>
        <w:rPr>
          <w:rFonts w:ascii="Candara" w:hAnsi="Candara" w:cstheme="minorHAnsi"/>
          <w:b/>
          <w:kern w:val="28"/>
          <w:sz w:val="28"/>
          <w:szCs w:val="20"/>
        </w:rPr>
      </w:pPr>
    </w:p>
    <w:p w14:paraId="0E139A1A" w14:textId="77777777" w:rsidR="008B652B" w:rsidRDefault="008B652B">
      <w:pPr>
        <w:spacing w:before="0" w:after="160" w:line="259" w:lineRule="auto"/>
        <w:jc w:val="left"/>
        <w:rPr>
          <w:rFonts w:ascii="Candara" w:hAnsi="Candara" w:cstheme="minorHAnsi"/>
        </w:rPr>
      </w:pPr>
    </w:p>
    <w:p w14:paraId="5527B706" w14:textId="77777777" w:rsidR="008B652B" w:rsidRDefault="008B652B">
      <w:pPr>
        <w:spacing w:before="0" w:after="160" w:line="259" w:lineRule="auto"/>
        <w:jc w:val="left"/>
        <w:rPr>
          <w:rFonts w:ascii="Candara" w:hAnsi="Candara" w:cstheme="minorHAnsi"/>
        </w:rPr>
      </w:pPr>
    </w:p>
    <w:p w14:paraId="178C2C40" w14:textId="210B9A35" w:rsidR="008B652B" w:rsidRDefault="008B652B">
      <w:pPr>
        <w:spacing w:before="0" w:after="160" w:line="259" w:lineRule="auto"/>
        <w:jc w:val="left"/>
        <w:rPr>
          <w:rFonts w:ascii="Candara" w:hAnsi="Candara" w:cstheme="minorHAnsi"/>
          <w:b/>
          <w:kern w:val="28"/>
          <w:sz w:val="28"/>
          <w:szCs w:val="20"/>
        </w:rPr>
      </w:pPr>
      <w:r>
        <w:rPr>
          <w:rFonts w:ascii="Candara" w:hAnsi="Candara" w:cstheme="minorHAnsi"/>
        </w:rPr>
        <w:br w:type="page"/>
      </w:r>
    </w:p>
    <w:p w14:paraId="66036FD2" w14:textId="7395306D" w:rsidR="00CE7641" w:rsidRPr="00CE7641" w:rsidRDefault="00CE7641" w:rsidP="00DD0C52">
      <w:pPr>
        <w:spacing w:before="0" w:after="100" w:afterAutospacing="1"/>
        <w:outlineLvl w:val="1"/>
        <w:rPr>
          <w:rFonts w:cstheme="minorHAnsi"/>
          <w:b/>
          <w:bCs/>
        </w:rPr>
      </w:pPr>
      <w:bookmarkStart w:id="0" w:name="_Hlk211871163"/>
      <w:r w:rsidRPr="00CE7641">
        <w:rPr>
          <w:rFonts w:cstheme="minorHAnsi"/>
          <w:b/>
          <w:bCs/>
        </w:rPr>
        <w:lastRenderedPageBreak/>
        <w:t xml:space="preserve">A. Společná ustanovení </w:t>
      </w:r>
    </w:p>
    <w:p w14:paraId="5325E462" w14:textId="24C4F216" w:rsidR="00E115AA" w:rsidRDefault="00E115AA" w:rsidP="00DD0C52">
      <w:pPr>
        <w:spacing w:before="0" w:after="100" w:afterAutospacing="1"/>
        <w:outlineLvl w:val="1"/>
        <w:rPr>
          <w:rFonts w:cstheme="minorHAnsi"/>
        </w:rPr>
      </w:pPr>
      <w:r>
        <w:rPr>
          <w:rFonts w:cstheme="minorHAnsi"/>
        </w:rPr>
        <w:t xml:space="preserve">(A.1) V rámci procesu kontroly řádného provedení Díla pro jeho možné předání Objednateli budou pod dohledem TDS a Objednatele provedena série </w:t>
      </w:r>
      <w:r w:rsidRPr="00A40B05">
        <w:rPr>
          <w:rFonts w:cstheme="minorHAnsi"/>
        </w:rPr>
        <w:t>zkouš</w:t>
      </w:r>
      <w:r>
        <w:rPr>
          <w:rFonts w:cstheme="minorHAnsi"/>
        </w:rPr>
        <w:t>e</w:t>
      </w:r>
      <w:r w:rsidRPr="00A40B05">
        <w:rPr>
          <w:rFonts w:cstheme="minorHAnsi"/>
        </w:rPr>
        <w:t>k</w:t>
      </w:r>
      <w:r>
        <w:rPr>
          <w:rFonts w:cstheme="minorHAnsi"/>
        </w:rPr>
        <w:t>, kterými bude ověřeno, že Dílo</w:t>
      </w:r>
      <w:r w:rsidR="00886494">
        <w:rPr>
          <w:rFonts w:cstheme="minorHAnsi"/>
        </w:rPr>
        <w:t>,</w:t>
      </w:r>
      <w:r>
        <w:rPr>
          <w:rFonts w:cstheme="minorHAnsi"/>
        </w:rPr>
        <w:t xml:space="preserve"> respektive jeho příslušná část byla Dodavatelem provedena bez zjevných funkčních vad (dále jen „Funkční zkoušky“).</w:t>
      </w:r>
    </w:p>
    <w:p w14:paraId="3756742A" w14:textId="77777777" w:rsidR="00E115AA" w:rsidRDefault="00E115AA" w:rsidP="00DD0C52">
      <w:pPr>
        <w:spacing w:before="0" w:after="100" w:afterAutospacing="1"/>
        <w:outlineLvl w:val="1"/>
        <w:rPr>
          <w:rFonts w:cstheme="minorHAnsi"/>
        </w:rPr>
      </w:pPr>
      <w:r>
        <w:rPr>
          <w:rFonts w:cstheme="minorHAnsi"/>
        </w:rPr>
        <w:t xml:space="preserve">(A.2) Funkční zkoušky budou uskutečněny ve třech úrovních: </w:t>
      </w:r>
    </w:p>
    <w:p w14:paraId="1B4D12A7" w14:textId="77777777" w:rsidR="00E115AA" w:rsidRDefault="00E115AA" w:rsidP="00E115AA">
      <w:pPr>
        <w:spacing w:before="0" w:after="100" w:afterAutospacing="1"/>
        <w:ind w:firstLine="708"/>
        <w:outlineLvl w:val="1"/>
        <w:rPr>
          <w:rFonts w:cstheme="minorHAnsi"/>
        </w:rPr>
      </w:pPr>
      <w:r>
        <w:rPr>
          <w:rFonts w:cstheme="minorHAnsi"/>
        </w:rPr>
        <w:t xml:space="preserve">(i) kontroly vybraných konkrétních pracovních úkonů, </w:t>
      </w:r>
    </w:p>
    <w:p w14:paraId="578BB5F4" w14:textId="77777777" w:rsidR="00E115AA" w:rsidRDefault="00E115AA" w:rsidP="00E115AA">
      <w:pPr>
        <w:spacing w:before="0" w:after="100" w:afterAutospacing="1"/>
        <w:ind w:firstLine="708"/>
        <w:outlineLvl w:val="1"/>
        <w:rPr>
          <w:rFonts w:cstheme="minorHAnsi"/>
        </w:rPr>
      </w:pPr>
      <w:r>
        <w:rPr>
          <w:rFonts w:cstheme="minorHAnsi"/>
        </w:rPr>
        <w:t xml:space="preserve">(ii) kontroly dokončených dílčích částí Díla a </w:t>
      </w:r>
    </w:p>
    <w:p w14:paraId="0204BF78" w14:textId="66735EA3" w:rsidR="00E115AA" w:rsidRDefault="00E115AA" w:rsidP="00E115AA">
      <w:pPr>
        <w:spacing w:before="0" w:after="100" w:afterAutospacing="1"/>
        <w:ind w:firstLine="708"/>
        <w:outlineLvl w:val="1"/>
        <w:rPr>
          <w:rFonts w:cstheme="minorHAnsi"/>
        </w:rPr>
      </w:pPr>
      <w:r>
        <w:rPr>
          <w:rFonts w:cstheme="minorHAnsi"/>
        </w:rPr>
        <w:t>(iii) komplexní ověření funkčnosti Díla jako celku.</w:t>
      </w:r>
    </w:p>
    <w:p w14:paraId="3617CCB1" w14:textId="0BC022B8" w:rsidR="00CE7641" w:rsidRDefault="00E115AA" w:rsidP="00DD0C52">
      <w:pPr>
        <w:spacing w:before="0" w:after="100" w:afterAutospacing="1"/>
        <w:outlineLvl w:val="1"/>
        <w:rPr>
          <w:rFonts w:cstheme="minorHAnsi"/>
        </w:rPr>
      </w:pPr>
      <w:r>
        <w:rPr>
          <w:rFonts w:cstheme="minorHAnsi"/>
        </w:rPr>
        <w:t xml:space="preserve">(A.3) </w:t>
      </w:r>
      <w:r w:rsidR="00CE7641">
        <w:rPr>
          <w:rFonts w:cstheme="minorHAnsi"/>
        </w:rPr>
        <w:t>Kontroly vybraných konkrétních úkonů budou zahrnovat:</w:t>
      </w:r>
    </w:p>
    <w:p w14:paraId="5F4F5CA4" w14:textId="60950777" w:rsidR="00CE7641" w:rsidRDefault="00CE7641" w:rsidP="00CE7641">
      <w:pPr>
        <w:pStyle w:val="Odstavecseseznamem"/>
        <w:numPr>
          <w:ilvl w:val="0"/>
          <w:numId w:val="10"/>
        </w:numPr>
        <w:spacing w:before="0" w:after="100" w:afterAutospacing="1"/>
        <w:outlineLvl w:val="1"/>
        <w:rPr>
          <w:rFonts w:cstheme="minorHAnsi"/>
        </w:rPr>
      </w:pPr>
      <w:r>
        <w:rPr>
          <w:rFonts w:cstheme="minorHAnsi"/>
        </w:rPr>
        <w:t xml:space="preserve">kontrola materiálového certifikátu potrubí ad. komponent před montáží  </w:t>
      </w:r>
    </w:p>
    <w:p w14:paraId="70DAB273" w14:textId="3DFFEE16" w:rsidR="008A55F3" w:rsidRDefault="008A55F3" w:rsidP="00CE7641">
      <w:pPr>
        <w:pStyle w:val="Odstavecseseznamem"/>
        <w:numPr>
          <w:ilvl w:val="0"/>
          <w:numId w:val="10"/>
        </w:numPr>
        <w:spacing w:before="0" w:after="100" w:afterAutospacing="1"/>
        <w:outlineLvl w:val="1"/>
        <w:rPr>
          <w:rFonts w:cstheme="minorHAnsi"/>
        </w:rPr>
      </w:pPr>
      <w:r>
        <w:rPr>
          <w:rFonts w:cstheme="minorHAnsi"/>
        </w:rPr>
        <w:t>kontrola čistoty potrubních komponent</w:t>
      </w:r>
    </w:p>
    <w:p w14:paraId="1E5DA892" w14:textId="48197D75" w:rsidR="008A55F3" w:rsidRDefault="008A55F3" w:rsidP="00CE7641">
      <w:pPr>
        <w:pStyle w:val="Odstavecseseznamem"/>
        <w:numPr>
          <w:ilvl w:val="0"/>
          <w:numId w:val="10"/>
        </w:numPr>
        <w:spacing w:before="0" w:after="100" w:afterAutospacing="1"/>
        <w:outlineLvl w:val="1"/>
        <w:rPr>
          <w:rFonts w:cstheme="minorHAnsi"/>
        </w:rPr>
      </w:pPr>
      <w:r>
        <w:rPr>
          <w:rFonts w:cstheme="minorHAnsi"/>
        </w:rPr>
        <w:t xml:space="preserve">kontrola </w:t>
      </w:r>
      <w:r w:rsidRPr="008A55F3">
        <w:rPr>
          <w:rFonts w:cstheme="minorHAnsi"/>
        </w:rPr>
        <w:t>integrit</w:t>
      </w:r>
      <w:r>
        <w:rPr>
          <w:rFonts w:cstheme="minorHAnsi"/>
        </w:rPr>
        <w:t>y</w:t>
      </w:r>
      <w:r w:rsidRPr="008A55F3">
        <w:rPr>
          <w:rFonts w:cstheme="minorHAnsi"/>
        </w:rPr>
        <w:t xml:space="preserve"> detekčních vodičů</w:t>
      </w:r>
    </w:p>
    <w:p w14:paraId="31D16852" w14:textId="61220305" w:rsidR="00CE7641" w:rsidRPr="00CE7641" w:rsidRDefault="00CE7641" w:rsidP="00CE7641">
      <w:pPr>
        <w:pStyle w:val="Odstavecseseznamem"/>
        <w:numPr>
          <w:ilvl w:val="0"/>
          <w:numId w:val="10"/>
        </w:numPr>
        <w:spacing w:before="0" w:after="100" w:afterAutospacing="1"/>
        <w:outlineLvl w:val="1"/>
        <w:rPr>
          <w:rFonts w:cstheme="minorHAnsi"/>
        </w:rPr>
      </w:pPr>
      <w:r>
        <w:rPr>
          <w:rFonts w:cstheme="minorHAnsi"/>
        </w:rPr>
        <w:t xml:space="preserve">vizuální </w:t>
      </w:r>
      <w:r w:rsidRPr="00CE7641">
        <w:rPr>
          <w:rFonts w:cstheme="minorHAnsi"/>
        </w:rPr>
        <w:t>kontrol</w:t>
      </w:r>
      <w:r>
        <w:rPr>
          <w:rFonts w:cstheme="minorHAnsi"/>
        </w:rPr>
        <w:t>a</w:t>
      </w:r>
      <w:r w:rsidRPr="00CE7641">
        <w:rPr>
          <w:rFonts w:cstheme="minorHAnsi"/>
        </w:rPr>
        <w:t xml:space="preserve"> </w:t>
      </w:r>
      <w:r>
        <w:rPr>
          <w:rFonts w:cstheme="minorHAnsi"/>
        </w:rPr>
        <w:t xml:space="preserve">způsobu </w:t>
      </w:r>
      <w:r w:rsidRPr="00CE7641">
        <w:rPr>
          <w:rFonts w:cstheme="minorHAnsi"/>
        </w:rPr>
        <w:t xml:space="preserve">provedení </w:t>
      </w:r>
      <w:r>
        <w:rPr>
          <w:rFonts w:cstheme="minorHAnsi"/>
        </w:rPr>
        <w:t xml:space="preserve">všech potrubních </w:t>
      </w:r>
      <w:r w:rsidRPr="00CE7641">
        <w:rPr>
          <w:rFonts w:cstheme="minorHAnsi"/>
        </w:rPr>
        <w:t xml:space="preserve">svarů </w:t>
      </w:r>
    </w:p>
    <w:p w14:paraId="5E6C758E" w14:textId="68E1CABE" w:rsidR="00CE7641" w:rsidRDefault="00CE7641" w:rsidP="00CE7641">
      <w:pPr>
        <w:pStyle w:val="Odstavecseseznamem"/>
        <w:numPr>
          <w:ilvl w:val="0"/>
          <w:numId w:val="10"/>
        </w:numPr>
        <w:spacing w:before="0" w:after="100" w:afterAutospacing="1"/>
        <w:outlineLvl w:val="1"/>
        <w:rPr>
          <w:rFonts w:cstheme="minorHAnsi"/>
        </w:rPr>
      </w:pPr>
      <w:r>
        <w:rPr>
          <w:rFonts w:cstheme="minorHAnsi"/>
        </w:rPr>
        <w:t>ultrazvuková kontrola způsobu provedení vybraných potrubních svarů</w:t>
      </w:r>
    </w:p>
    <w:p w14:paraId="43BEB962" w14:textId="5D9A0B87" w:rsidR="00CE7641" w:rsidRDefault="00CE7641" w:rsidP="00CE7641">
      <w:pPr>
        <w:pStyle w:val="Odstavecseseznamem"/>
        <w:numPr>
          <w:ilvl w:val="0"/>
          <w:numId w:val="10"/>
        </w:numPr>
        <w:spacing w:before="0" w:after="100" w:afterAutospacing="1"/>
        <w:outlineLvl w:val="1"/>
        <w:rPr>
          <w:rFonts w:cstheme="minorHAnsi"/>
        </w:rPr>
      </w:pPr>
      <w:r>
        <w:rPr>
          <w:rFonts w:cstheme="minorHAnsi"/>
        </w:rPr>
        <w:t xml:space="preserve">radiologická kontrola způsobu provedení vybraných potrubních svarů </w:t>
      </w:r>
    </w:p>
    <w:p w14:paraId="1FA1582B" w14:textId="0E9CD62E" w:rsidR="00CE7641" w:rsidRDefault="00CE7641" w:rsidP="00DD0C52">
      <w:pPr>
        <w:spacing w:before="0" w:after="100" w:afterAutospacing="1"/>
        <w:outlineLvl w:val="1"/>
        <w:rPr>
          <w:rFonts w:cstheme="minorHAnsi"/>
        </w:rPr>
      </w:pPr>
      <w:r>
        <w:rPr>
          <w:rFonts w:cstheme="minorHAnsi"/>
        </w:rPr>
        <w:t>(A.4) Kontroly dokončených dílčích částí Díla budou zahrnovat:</w:t>
      </w:r>
    </w:p>
    <w:p w14:paraId="7699F564" w14:textId="619371ED" w:rsidR="00CE7641" w:rsidRDefault="00CE7641" w:rsidP="00CE7641">
      <w:pPr>
        <w:pStyle w:val="Odstavecseseznamem"/>
        <w:numPr>
          <w:ilvl w:val="0"/>
          <w:numId w:val="10"/>
        </w:numPr>
        <w:spacing w:before="0" w:after="100" w:afterAutospacing="1"/>
        <w:outlineLvl w:val="1"/>
        <w:rPr>
          <w:rFonts w:cstheme="minorHAnsi"/>
        </w:rPr>
      </w:pPr>
      <w:r>
        <w:rPr>
          <w:rFonts w:cstheme="minorHAnsi"/>
        </w:rPr>
        <w:t xml:space="preserve">kontrola </w:t>
      </w:r>
      <w:r w:rsidR="00162FD2">
        <w:rPr>
          <w:rFonts w:cstheme="minorHAnsi"/>
        </w:rPr>
        <w:t xml:space="preserve">čistoty </w:t>
      </w:r>
      <w:r w:rsidR="00CC6995">
        <w:rPr>
          <w:rFonts w:cstheme="minorHAnsi"/>
        </w:rPr>
        <w:t xml:space="preserve">teplovodních okruhů </w:t>
      </w:r>
    </w:p>
    <w:p w14:paraId="6A9547F8" w14:textId="70868C47" w:rsidR="00CC6995" w:rsidRDefault="00CE7641" w:rsidP="00CE7641">
      <w:pPr>
        <w:pStyle w:val="Odstavecseseznamem"/>
        <w:numPr>
          <w:ilvl w:val="0"/>
          <w:numId w:val="10"/>
        </w:numPr>
        <w:spacing w:before="0" w:after="100" w:afterAutospacing="1"/>
        <w:outlineLvl w:val="1"/>
        <w:rPr>
          <w:rFonts w:cstheme="minorHAnsi"/>
        </w:rPr>
      </w:pPr>
      <w:r>
        <w:rPr>
          <w:rFonts w:cstheme="minorHAnsi"/>
        </w:rPr>
        <w:t>tlaková zkouška</w:t>
      </w:r>
      <w:r w:rsidR="00CC6995">
        <w:rPr>
          <w:rFonts w:cstheme="minorHAnsi"/>
        </w:rPr>
        <w:t xml:space="preserve"> teplovodních okruhů </w:t>
      </w:r>
    </w:p>
    <w:p w14:paraId="18CE355F" w14:textId="06C7BC77" w:rsidR="00CC6995" w:rsidRDefault="00CC6995" w:rsidP="00CE7641">
      <w:pPr>
        <w:pStyle w:val="Odstavecseseznamem"/>
        <w:numPr>
          <w:ilvl w:val="0"/>
          <w:numId w:val="10"/>
        </w:numPr>
        <w:spacing w:before="0" w:after="100" w:afterAutospacing="1"/>
        <w:outlineLvl w:val="1"/>
        <w:rPr>
          <w:rFonts w:cstheme="minorHAnsi"/>
        </w:rPr>
      </w:pPr>
      <w:r>
        <w:rPr>
          <w:rFonts w:cstheme="minorHAnsi"/>
        </w:rPr>
        <w:t xml:space="preserve">kontrola řádné funkce </w:t>
      </w:r>
      <w:r w:rsidR="004A0D86">
        <w:rPr>
          <w:rFonts w:cstheme="minorHAnsi"/>
        </w:rPr>
        <w:t xml:space="preserve">regulačních </w:t>
      </w:r>
      <w:r>
        <w:rPr>
          <w:rFonts w:cstheme="minorHAnsi"/>
        </w:rPr>
        <w:t>armatur teplovodních okruhů</w:t>
      </w:r>
    </w:p>
    <w:p w14:paraId="0A284D99" w14:textId="3F7FD6D4" w:rsidR="00CC6995" w:rsidRDefault="00CC6995" w:rsidP="00CE7641">
      <w:pPr>
        <w:pStyle w:val="Odstavecseseznamem"/>
        <w:numPr>
          <w:ilvl w:val="0"/>
          <w:numId w:val="10"/>
        </w:numPr>
        <w:spacing w:before="0" w:after="100" w:afterAutospacing="1"/>
        <w:outlineLvl w:val="1"/>
        <w:rPr>
          <w:rFonts w:cstheme="minorHAnsi"/>
        </w:rPr>
      </w:pPr>
      <w:r>
        <w:rPr>
          <w:rFonts w:cstheme="minorHAnsi"/>
        </w:rPr>
        <w:t>termovizní diagnostika teplovodních okruhů</w:t>
      </w:r>
    </w:p>
    <w:p w14:paraId="08E02302" w14:textId="77777777" w:rsidR="004A0D86" w:rsidRDefault="00CC6995" w:rsidP="00CE7641">
      <w:pPr>
        <w:pStyle w:val="Odstavecseseznamem"/>
        <w:numPr>
          <w:ilvl w:val="0"/>
          <w:numId w:val="10"/>
        </w:numPr>
        <w:spacing w:before="0" w:after="100" w:afterAutospacing="1"/>
        <w:outlineLvl w:val="1"/>
        <w:rPr>
          <w:rFonts w:cstheme="minorHAnsi"/>
        </w:rPr>
      </w:pPr>
      <w:r>
        <w:rPr>
          <w:rFonts w:cstheme="minorHAnsi"/>
        </w:rPr>
        <w:t>obdobné zkoušky u akumulátorů tepla a potrubních tras studeného a teplého glykolu</w:t>
      </w:r>
    </w:p>
    <w:p w14:paraId="0547EA64" w14:textId="63FDFC92" w:rsidR="00CC6995" w:rsidRDefault="004A0D86" w:rsidP="00CE7641">
      <w:pPr>
        <w:pStyle w:val="Odstavecseseznamem"/>
        <w:numPr>
          <w:ilvl w:val="0"/>
          <w:numId w:val="10"/>
        </w:numPr>
        <w:spacing w:before="0" w:after="100" w:afterAutospacing="1"/>
        <w:outlineLvl w:val="1"/>
        <w:rPr>
          <w:rFonts w:cstheme="minorHAnsi"/>
        </w:rPr>
      </w:pPr>
      <w:r>
        <w:rPr>
          <w:rFonts w:cstheme="minorHAnsi"/>
        </w:rPr>
        <w:t>zkoušky systému IACS/ASŘ</w:t>
      </w:r>
      <w:r w:rsidR="00CC6995">
        <w:rPr>
          <w:rFonts w:cstheme="minorHAnsi"/>
        </w:rPr>
        <w:t xml:space="preserve"> </w:t>
      </w:r>
    </w:p>
    <w:p w14:paraId="28220642" w14:textId="33419911" w:rsidR="00CE7641" w:rsidRDefault="00CE7641" w:rsidP="00DD0C52">
      <w:pPr>
        <w:spacing w:before="0" w:after="100" w:afterAutospacing="1"/>
        <w:outlineLvl w:val="1"/>
        <w:rPr>
          <w:rFonts w:cstheme="minorHAnsi"/>
        </w:rPr>
      </w:pPr>
      <w:r>
        <w:rPr>
          <w:rFonts w:cstheme="minorHAnsi"/>
        </w:rPr>
        <w:t>(A.5) Komplexní ověření funkčnosti celého Díla bude zahrnovat:</w:t>
      </w:r>
    </w:p>
    <w:p w14:paraId="692B51A1" w14:textId="77777777" w:rsidR="005D5FDD" w:rsidRDefault="0058626F" w:rsidP="0009547C">
      <w:pPr>
        <w:pStyle w:val="Odstavecseseznamem"/>
        <w:numPr>
          <w:ilvl w:val="0"/>
          <w:numId w:val="10"/>
        </w:numPr>
        <w:spacing w:before="0" w:after="100" w:afterAutospacing="1"/>
        <w:outlineLvl w:val="1"/>
        <w:rPr>
          <w:rFonts w:cstheme="minorHAnsi"/>
        </w:rPr>
      </w:pPr>
      <w:r>
        <w:rPr>
          <w:rFonts w:cstheme="minorHAnsi"/>
        </w:rPr>
        <w:t>přejímací zkouška typu SAT</w:t>
      </w:r>
    </w:p>
    <w:p w14:paraId="32744C70" w14:textId="021D4C16" w:rsidR="0058626F" w:rsidRPr="0009547C" w:rsidRDefault="00CE7641" w:rsidP="0009547C">
      <w:pPr>
        <w:pStyle w:val="Odstavecseseznamem"/>
        <w:numPr>
          <w:ilvl w:val="0"/>
          <w:numId w:val="10"/>
        </w:numPr>
      </w:pPr>
      <w:r w:rsidRPr="005D5FDD">
        <w:rPr>
          <w:rFonts w:cstheme="minorHAnsi"/>
        </w:rPr>
        <w:t>topná zkouška</w:t>
      </w:r>
    </w:p>
    <w:p w14:paraId="0FE8BF90" w14:textId="77777777" w:rsidR="008A55F3" w:rsidRDefault="008A55F3" w:rsidP="0009547C">
      <w:pPr>
        <w:spacing w:before="240" w:after="100" w:afterAutospacing="1"/>
        <w:outlineLvl w:val="1"/>
        <w:rPr>
          <w:rFonts w:cstheme="minorHAnsi"/>
        </w:rPr>
      </w:pPr>
      <w:r w:rsidRPr="005D5FDD">
        <w:rPr>
          <w:rFonts w:cstheme="minorHAnsi"/>
        </w:rPr>
        <w:t>(A.6) V</w:t>
      </w:r>
      <w:r>
        <w:rPr>
          <w:rFonts w:cstheme="minorHAnsi"/>
        </w:rPr>
        <w:t>šechny výše uvedené zkoušky je Dodavatel povinen provádět za přítomnosti zástupců Objednatele/TDS a ten s jejich výsledkem musí vyslovit písemný souhlas. O plánu provést tyto zkoušky musí být Objednatel/TDS s dostatečným předstihem informován a pokud se jej nemůže v daném termínu zúčastnit, má Objednatel právo navrhnout jiný nejbližší termín.</w:t>
      </w:r>
    </w:p>
    <w:p w14:paraId="185B5DEB" w14:textId="018317FD" w:rsidR="00CE7641" w:rsidRDefault="00CE7641" w:rsidP="00DD0C52">
      <w:pPr>
        <w:spacing w:before="0" w:after="100" w:afterAutospacing="1"/>
        <w:outlineLvl w:val="1"/>
        <w:rPr>
          <w:rFonts w:cstheme="minorHAnsi"/>
          <w:b/>
          <w:bCs/>
        </w:rPr>
      </w:pPr>
      <w:r>
        <w:rPr>
          <w:rFonts w:cstheme="minorHAnsi"/>
          <w:b/>
          <w:bCs/>
        </w:rPr>
        <w:t>B</w:t>
      </w:r>
      <w:r w:rsidR="00DD0C52">
        <w:rPr>
          <w:rFonts w:cstheme="minorHAnsi"/>
          <w:b/>
          <w:bCs/>
        </w:rPr>
        <w:t xml:space="preserve">. </w:t>
      </w:r>
      <w:bookmarkStart w:id="1" w:name="_Hlk215494468"/>
      <w:r w:rsidR="000157EA">
        <w:rPr>
          <w:rFonts w:cstheme="minorHAnsi"/>
          <w:b/>
          <w:bCs/>
        </w:rPr>
        <w:t xml:space="preserve">Specifikace </w:t>
      </w:r>
      <w:r>
        <w:rPr>
          <w:rFonts w:cstheme="minorHAnsi"/>
          <w:b/>
          <w:bCs/>
        </w:rPr>
        <w:t>kontrol konkrétních pracovních úkonů</w:t>
      </w:r>
    </w:p>
    <w:p w14:paraId="5C635318" w14:textId="6F09A577" w:rsidR="00CE7641" w:rsidRDefault="00CE7641" w:rsidP="00CE7641">
      <w:pPr>
        <w:rPr>
          <w:rFonts w:cstheme="minorHAnsi"/>
        </w:rPr>
      </w:pPr>
      <w:r w:rsidRPr="004A6F13">
        <w:rPr>
          <w:rFonts w:cstheme="minorHAnsi"/>
        </w:rPr>
        <w:t>(</w:t>
      </w:r>
      <w:r>
        <w:rPr>
          <w:rFonts w:cstheme="minorHAnsi"/>
        </w:rPr>
        <w:t>B</w:t>
      </w:r>
      <w:r w:rsidRPr="004A6F13">
        <w:rPr>
          <w:rFonts w:cstheme="minorHAnsi"/>
        </w:rPr>
        <w:t>.</w:t>
      </w:r>
      <w:r>
        <w:rPr>
          <w:rFonts w:cstheme="minorHAnsi"/>
        </w:rPr>
        <w:t>1</w:t>
      </w:r>
      <w:r w:rsidRPr="004A6F13">
        <w:rPr>
          <w:rFonts w:cstheme="minorHAnsi"/>
        </w:rPr>
        <w:t xml:space="preserve">) </w:t>
      </w:r>
      <w:r>
        <w:rPr>
          <w:rFonts w:cstheme="minorHAnsi"/>
        </w:rPr>
        <w:t xml:space="preserve">Před zahájením montážních prací bude Objednateli a/nebo TDS </w:t>
      </w:r>
      <w:r w:rsidR="000D09D6">
        <w:rPr>
          <w:rFonts w:cstheme="minorHAnsi"/>
        </w:rPr>
        <w:t xml:space="preserve">pověřenými zástupci Dodavatele </w:t>
      </w:r>
      <w:r>
        <w:rPr>
          <w:rFonts w:cstheme="minorHAnsi"/>
        </w:rPr>
        <w:t xml:space="preserve">předložen materiálový certifikát použitého potrubního ad. materiálu s cílem doložit jeho řádnou kvalitu. </w:t>
      </w:r>
      <w:r w:rsidR="000D09D6">
        <w:rPr>
          <w:rFonts w:cstheme="minorHAnsi"/>
        </w:rPr>
        <w:t>O této skutečnosti bude pořízen písemný zápis.</w:t>
      </w:r>
    </w:p>
    <w:p w14:paraId="7E3461CE" w14:textId="2492FFCB" w:rsidR="008A55F3" w:rsidRDefault="008A55F3" w:rsidP="00B9114A">
      <w:pPr>
        <w:rPr>
          <w:rFonts w:cstheme="minorHAnsi"/>
        </w:rPr>
      </w:pPr>
      <w:r>
        <w:rPr>
          <w:rFonts w:cstheme="minorHAnsi"/>
        </w:rPr>
        <w:t xml:space="preserve">(B.2) </w:t>
      </w:r>
      <w:r w:rsidR="00B9114A">
        <w:rPr>
          <w:rFonts w:cstheme="minorHAnsi"/>
        </w:rPr>
        <w:t>Dále platí, že v</w:t>
      </w:r>
      <w:r w:rsidR="00AC4113" w:rsidRPr="00AC4113">
        <w:rPr>
          <w:rFonts w:cstheme="minorHAnsi"/>
        </w:rPr>
        <w:t xml:space="preserve">eškeré potrubí, tvarové kusy a armatury </w:t>
      </w:r>
      <w:r w:rsidR="00B9114A">
        <w:rPr>
          <w:rFonts w:cstheme="minorHAnsi"/>
        </w:rPr>
        <w:t xml:space="preserve">dovezené do místa montáže </w:t>
      </w:r>
      <w:r w:rsidR="00AC4113" w:rsidRPr="00AC4113">
        <w:rPr>
          <w:rFonts w:cstheme="minorHAnsi"/>
        </w:rPr>
        <w:t xml:space="preserve">musí být </w:t>
      </w:r>
      <w:r w:rsidR="00B9114A">
        <w:rPr>
          <w:rFonts w:cstheme="minorHAnsi"/>
        </w:rPr>
        <w:t xml:space="preserve">až do okamžiku zahájení vlastní </w:t>
      </w:r>
      <w:r w:rsidR="00AC4113" w:rsidRPr="00AC4113">
        <w:rPr>
          <w:rFonts w:cstheme="minorHAnsi"/>
        </w:rPr>
        <w:t>montáž</w:t>
      </w:r>
      <w:r w:rsidR="00B9114A">
        <w:rPr>
          <w:rFonts w:cstheme="minorHAnsi"/>
        </w:rPr>
        <w:t xml:space="preserve">e potrubí </w:t>
      </w:r>
      <w:r w:rsidR="00AC4113" w:rsidRPr="00AC4113">
        <w:rPr>
          <w:rFonts w:cstheme="minorHAnsi"/>
        </w:rPr>
        <w:t>do potrubní trasy</w:t>
      </w:r>
      <w:r w:rsidR="00B9114A">
        <w:rPr>
          <w:rFonts w:cstheme="minorHAnsi"/>
        </w:rPr>
        <w:t xml:space="preserve"> </w:t>
      </w:r>
      <w:r w:rsidR="00B9114A" w:rsidRPr="00AC4113">
        <w:rPr>
          <w:rFonts w:cstheme="minorHAnsi"/>
        </w:rPr>
        <w:t>zaslepeny plastovými víčky</w:t>
      </w:r>
      <w:r w:rsidR="00B9114A">
        <w:rPr>
          <w:rFonts w:cstheme="minorHAnsi"/>
        </w:rPr>
        <w:t xml:space="preserve">. Před svařováním musí být veškeré potrubní komponenty </w:t>
      </w:r>
      <w:r w:rsidR="00AC4113" w:rsidRPr="00AC4113">
        <w:rPr>
          <w:rFonts w:cstheme="minorHAnsi"/>
        </w:rPr>
        <w:t xml:space="preserve">prohlídnuty a </w:t>
      </w:r>
      <w:r w:rsidR="00B9114A">
        <w:rPr>
          <w:rFonts w:cstheme="minorHAnsi"/>
        </w:rPr>
        <w:t xml:space="preserve">případné </w:t>
      </w:r>
      <w:r w:rsidR="00AC4113" w:rsidRPr="00AC4113">
        <w:rPr>
          <w:rFonts w:cstheme="minorHAnsi"/>
        </w:rPr>
        <w:t xml:space="preserve">nečistoty z vnitřního </w:t>
      </w:r>
      <w:r w:rsidR="00AC4113" w:rsidRPr="00AC4113">
        <w:rPr>
          <w:rFonts w:cstheme="minorHAnsi"/>
        </w:rPr>
        <w:lastRenderedPageBreak/>
        <w:t xml:space="preserve">povrchu </w:t>
      </w:r>
      <w:r w:rsidR="00B9114A" w:rsidRPr="00AC4113">
        <w:rPr>
          <w:rFonts w:cstheme="minorHAnsi"/>
        </w:rPr>
        <w:t>(</w:t>
      </w:r>
      <w:r w:rsidR="00B9114A">
        <w:rPr>
          <w:rFonts w:cstheme="minorHAnsi"/>
        </w:rPr>
        <w:t xml:space="preserve">např. </w:t>
      </w:r>
      <w:r w:rsidR="00B9114A" w:rsidRPr="00AC4113">
        <w:rPr>
          <w:rFonts w:cstheme="minorHAnsi"/>
        </w:rPr>
        <w:t xml:space="preserve">hlína, kameny, </w:t>
      </w:r>
      <w:r w:rsidR="00B9114A">
        <w:rPr>
          <w:rFonts w:cstheme="minorHAnsi"/>
        </w:rPr>
        <w:t>okuje ad.</w:t>
      </w:r>
      <w:r w:rsidR="00B9114A" w:rsidRPr="00AC4113">
        <w:rPr>
          <w:rFonts w:cstheme="minorHAnsi"/>
        </w:rPr>
        <w:t>)</w:t>
      </w:r>
      <w:r w:rsidR="00B9114A">
        <w:rPr>
          <w:rFonts w:cstheme="minorHAnsi"/>
        </w:rPr>
        <w:t xml:space="preserve"> </w:t>
      </w:r>
      <w:r w:rsidR="00AC4113" w:rsidRPr="00AC4113">
        <w:rPr>
          <w:rFonts w:cstheme="minorHAnsi"/>
        </w:rPr>
        <w:t>mechanicky odstraněny vymetením pomocí kartáčů.</w:t>
      </w:r>
      <w:r w:rsidR="00B9114A">
        <w:rPr>
          <w:rFonts w:cstheme="minorHAnsi"/>
        </w:rPr>
        <w:t xml:space="preserve"> Na konci každého pracovní dne pracovníci Dodavatele konce rozpracovaných potrubních úseků </w:t>
      </w:r>
      <w:r w:rsidR="00AC4113" w:rsidRPr="00AC4113">
        <w:rPr>
          <w:rFonts w:cstheme="minorHAnsi"/>
        </w:rPr>
        <w:t>spolehlivě zaslep</w:t>
      </w:r>
      <w:r w:rsidR="00B9114A">
        <w:rPr>
          <w:rFonts w:cstheme="minorHAnsi"/>
        </w:rPr>
        <w:t>í</w:t>
      </w:r>
      <w:r w:rsidR="00AC4113" w:rsidRPr="00AC4113">
        <w:rPr>
          <w:rFonts w:cstheme="minorHAnsi"/>
        </w:rPr>
        <w:t xml:space="preserve">, aby nemohlo dojít k znečistění </w:t>
      </w:r>
      <w:r w:rsidR="00B9114A">
        <w:rPr>
          <w:rFonts w:cstheme="minorHAnsi"/>
        </w:rPr>
        <w:t xml:space="preserve">(například </w:t>
      </w:r>
      <w:r w:rsidR="00AC4113" w:rsidRPr="00AC4113">
        <w:rPr>
          <w:rFonts w:cstheme="minorHAnsi"/>
        </w:rPr>
        <w:t>přívalovou dešťovou vodou</w:t>
      </w:r>
      <w:r w:rsidR="00B9114A">
        <w:rPr>
          <w:rFonts w:cstheme="minorHAnsi"/>
        </w:rPr>
        <w:t>)</w:t>
      </w:r>
      <w:r w:rsidR="00AC4113" w:rsidRPr="00AC4113">
        <w:rPr>
          <w:rFonts w:cstheme="minorHAnsi"/>
        </w:rPr>
        <w:t>.</w:t>
      </w:r>
      <w:r w:rsidR="00AC4113" w:rsidRPr="00AC4113">
        <w:rPr>
          <w:rFonts w:cstheme="minorHAnsi"/>
        </w:rPr>
        <w:tab/>
      </w:r>
      <w:r w:rsidR="00AC4113" w:rsidRPr="00AC4113">
        <w:rPr>
          <w:rFonts w:cstheme="minorHAnsi"/>
        </w:rPr>
        <w:tab/>
      </w:r>
      <w:r w:rsidR="00AC4113" w:rsidRPr="00AC4113">
        <w:rPr>
          <w:rFonts w:cstheme="minorHAnsi"/>
        </w:rPr>
        <w:tab/>
      </w:r>
      <w:r w:rsidRPr="004A6F13">
        <w:rPr>
          <w:rFonts w:cstheme="minorHAnsi"/>
        </w:rPr>
        <w:t xml:space="preserve"> </w:t>
      </w:r>
    </w:p>
    <w:p w14:paraId="5BBC476E" w14:textId="09B24475" w:rsidR="00CE7641" w:rsidRPr="004A6F13" w:rsidRDefault="00CE7641" w:rsidP="00CE7641">
      <w:pPr>
        <w:rPr>
          <w:rFonts w:cstheme="minorHAnsi"/>
        </w:rPr>
      </w:pPr>
      <w:r>
        <w:rPr>
          <w:rFonts w:cstheme="minorHAnsi"/>
        </w:rPr>
        <w:t>(B.</w:t>
      </w:r>
      <w:r w:rsidR="00D1743C">
        <w:rPr>
          <w:rFonts w:cstheme="minorHAnsi"/>
        </w:rPr>
        <w:t>3</w:t>
      </w:r>
      <w:r>
        <w:rPr>
          <w:rFonts w:cstheme="minorHAnsi"/>
        </w:rPr>
        <w:t xml:space="preserve">) </w:t>
      </w:r>
      <w:r w:rsidR="000D09D6">
        <w:rPr>
          <w:rFonts w:cstheme="minorHAnsi"/>
        </w:rPr>
        <w:t xml:space="preserve">V případě </w:t>
      </w:r>
      <w:r w:rsidRPr="004A6F13">
        <w:rPr>
          <w:rFonts w:cstheme="minorHAnsi"/>
        </w:rPr>
        <w:t>předizolovaného</w:t>
      </w:r>
      <w:r>
        <w:rPr>
          <w:rFonts w:cstheme="minorHAnsi"/>
        </w:rPr>
        <w:t xml:space="preserve"> </w:t>
      </w:r>
      <w:r w:rsidRPr="004A6F13">
        <w:rPr>
          <w:rFonts w:cstheme="minorHAnsi"/>
        </w:rPr>
        <w:t xml:space="preserve">potrubí musí být </w:t>
      </w:r>
      <w:r w:rsidR="00B9114A">
        <w:rPr>
          <w:rFonts w:cstheme="minorHAnsi"/>
        </w:rPr>
        <w:t xml:space="preserve">přes provedením svarů </w:t>
      </w:r>
      <w:r w:rsidRPr="004A6F13">
        <w:rPr>
          <w:rFonts w:cstheme="minorHAnsi"/>
        </w:rPr>
        <w:t>ověřena integrita detekčních vodičů pomocí měření izolačního odporu ohmmetrem. Dílce s izolačním odporem nižším než 200 MΩ nesmí být zabudovány do systému. Vodiče musí být stabilně fixovány, aby nebyly namáhány v tahu a nedocházelo ke kontaktu s ostrými hranami. Součástí kontrol je také funkční zkouška signalizačních smyček a detekčních čidel, zahrnující simulaci provozních i havarijních stavů, ověření přenosu signálu do nadřazeného řídicího systému (DCS/PLC), ověření reakce alarmů a kontrolu správného logování událostí. Každá smyčka musí prokázat integritu, správnou polaritu a stabilitu v celém rozsahu pracovních teplot, přičemž systém nesmí vykazovat falešné poplachy ani zpožděné reakce.</w:t>
      </w:r>
    </w:p>
    <w:p w14:paraId="1C681EE2" w14:textId="6419DB73" w:rsidR="000D09D6" w:rsidRDefault="00CE7641" w:rsidP="00D87824">
      <w:pPr>
        <w:spacing w:before="0" w:after="100" w:afterAutospacing="1"/>
        <w:outlineLvl w:val="1"/>
        <w:rPr>
          <w:rFonts w:cstheme="minorHAnsi"/>
        </w:rPr>
      </w:pPr>
      <w:r w:rsidRPr="00CE7641">
        <w:rPr>
          <w:rFonts w:cstheme="minorHAnsi"/>
        </w:rPr>
        <w:t>(B.</w:t>
      </w:r>
      <w:r w:rsidR="00D1743C">
        <w:rPr>
          <w:rFonts w:cstheme="minorHAnsi"/>
        </w:rPr>
        <w:t>4</w:t>
      </w:r>
      <w:r w:rsidRPr="00CE7641">
        <w:rPr>
          <w:rFonts w:cstheme="minorHAnsi"/>
        </w:rPr>
        <w:t>)</w:t>
      </w:r>
      <w:r>
        <w:rPr>
          <w:rFonts w:cstheme="minorHAnsi"/>
        </w:rPr>
        <w:t xml:space="preserve"> </w:t>
      </w:r>
      <w:r w:rsidR="000D09D6">
        <w:rPr>
          <w:rFonts w:cstheme="minorHAnsi"/>
        </w:rPr>
        <w:t xml:space="preserve">Před započetím svařování potrubí musí dále osoba svářečského dozoru provést </w:t>
      </w:r>
      <w:r w:rsidR="00D87824">
        <w:rPr>
          <w:rFonts w:cstheme="minorHAnsi"/>
        </w:rPr>
        <w:t xml:space="preserve">kontrolu kvalifikace a </w:t>
      </w:r>
      <w:r w:rsidR="000D09D6">
        <w:rPr>
          <w:rFonts w:cstheme="minorHAnsi"/>
        </w:rPr>
        <w:t>zaškolení svářečů, kteří realizaci příslušných svářečských prací budou provádět, a to za přítomnosti TDS</w:t>
      </w:r>
      <w:r w:rsidR="00D87824">
        <w:rPr>
          <w:rFonts w:cstheme="minorHAnsi"/>
        </w:rPr>
        <w:t xml:space="preserve"> a v souladu s </w:t>
      </w:r>
      <w:r w:rsidR="00D87824" w:rsidRPr="00D87824">
        <w:rPr>
          <w:rFonts w:cstheme="minorHAnsi"/>
        </w:rPr>
        <w:t>norm</w:t>
      </w:r>
      <w:r w:rsidR="00D87824">
        <w:rPr>
          <w:rFonts w:cstheme="minorHAnsi"/>
        </w:rPr>
        <w:t>ou</w:t>
      </w:r>
      <w:r w:rsidR="00D87824" w:rsidRPr="00D87824">
        <w:rPr>
          <w:rFonts w:cstheme="minorHAnsi"/>
        </w:rPr>
        <w:t xml:space="preserve"> ČSN EN ISO 14731</w:t>
      </w:r>
      <w:r w:rsidR="000D09D6">
        <w:rPr>
          <w:rFonts w:cstheme="minorHAnsi"/>
        </w:rPr>
        <w:t xml:space="preserve">. </w:t>
      </w:r>
      <w:r w:rsidR="00D87824">
        <w:rPr>
          <w:rFonts w:cstheme="minorHAnsi"/>
        </w:rPr>
        <w:t xml:space="preserve">Pracovníci Dodavatele, kteří budou provádět svary, </w:t>
      </w:r>
      <w:r w:rsidR="00D87824" w:rsidRPr="00D87824">
        <w:rPr>
          <w:rFonts w:cstheme="minorHAnsi"/>
        </w:rPr>
        <w:t>bud</w:t>
      </w:r>
      <w:r w:rsidR="00D87824">
        <w:rPr>
          <w:rFonts w:cstheme="minorHAnsi"/>
        </w:rPr>
        <w:t>ou</w:t>
      </w:r>
      <w:r w:rsidR="00D87824" w:rsidRPr="00D87824">
        <w:rPr>
          <w:rFonts w:cstheme="minorHAnsi"/>
        </w:rPr>
        <w:t xml:space="preserve"> splňovat certifikaci dle ČSN EN ISO 3834-2 a potrubí</w:t>
      </w:r>
      <w:r w:rsidR="00D87824">
        <w:rPr>
          <w:rFonts w:cstheme="minorHAnsi"/>
        </w:rPr>
        <w:t xml:space="preserve"> </w:t>
      </w:r>
      <w:r w:rsidR="00D87824" w:rsidRPr="00D87824">
        <w:rPr>
          <w:rFonts w:cstheme="minorHAnsi"/>
        </w:rPr>
        <w:t>bude svařováno v souladu s ČSN EN 13941-2</w:t>
      </w:r>
      <w:r w:rsidR="00D87824">
        <w:rPr>
          <w:rFonts w:cstheme="minorHAnsi"/>
        </w:rPr>
        <w:t>.</w:t>
      </w:r>
      <w:r w:rsidR="00AC4113">
        <w:rPr>
          <w:rFonts w:cstheme="minorHAnsi"/>
        </w:rPr>
        <w:t xml:space="preserve"> O každém provedeném svaru bude prováděn záznam, z něhož bude zřejmé, jaký svářeč svar provedl.  </w:t>
      </w:r>
    </w:p>
    <w:p w14:paraId="140C9AF6" w14:textId="0E4B087E" w:rsidR="00A46D70" w:rsidRDefault="000D09D6" w:rsidP="00A46D70">
      <w:pPr>
        <w:spacing w:before="0" w:after="100" w:afterAutospacing="1"/>
        <w:outlineLvl w:val="1"/>
        <w:rPr>
          <w:rFonts w:cstheme="minorHAnsi"/>
        </w:rPr>
      </w:pPr>
      <w:r>
        <w:rPr>
          <w:rFonts w:cstheme="minorHAnsi"/>
        </w:rPr>
        <w:t>(B.</w:t>
      </w:r>
      <w:r w:rsidR="00D1743C">
        <w:rPr>
          <w:rFonts w:cstheme="minorHAnsi"/>
        </w:rPr>
        <w:t>5</w:t>
      </w:r>
      <w:r>
        <w:rPr>
          <w:rFonts w:cstheme="minorHAnsi"/>
        </w:rPr>
        <w:t>)</w:t>
      </w:r>
      <w:r w:rsidR="00CE7641" w:rsidRPr="00CE7641">
        <w:rPr>
          <w:rFonts w:cstheme="minorHAnsi"/>
        </w:rPr>
        <w:t xml:space="preserve"> </w:t>
      </w:r>
      <w:r>
        <w:rPr>
          <w:rFonts w:cstheme="minorHAnsi"/>
        </w:rPr>
        <w:t>Svářečský dozor poté bude průběžně provádět v</w:t>
      </w:r>
      <w:r w:rsidR="00CE7641">
        <w:rPr>
          <w:rFonts w:cstheme="minorHAnsi"/>
        </w:rPr>
        <w:t xml:space="preserve">izuální </w:t>
      </w:r>
      <w:r w:rsidR="00CE7641" w:rsidRPr="00CE7641">
        <w:rPr>
          <w:rFonts w:cstheme="minorHAnsi"/>
        </w:rPr>
        <w:t>kontrol</w:t>
      </w:r>
      <w:r>
        <w:rPr>
          <w:rFonts w:cstheme="minorHAnsi"/>
        </w:rPr>
        <w:t xml:space="preserve">u každého dokončeného </w:t>
      </w:r>
      <w:r w:rsidR="00CE7641">
        <w:rPr>
          <w:rFonts w:cstheme="minorHAnsi"/>
        </w:rPr>
        <w:t>potrubníh</w:t>
      </w:r>
      <w:r>
        <w:rPr>
          <w:rFonts w:cstheme="minorHAnsi"/>
        </w:rPr>
        <w:t>o</w:t>
      </w:r>
      <w:r w:rsidR="00CE7641">
        <w:rPr>
          <w:rFonts w:cstheme="minorHAnsi"/>
        </w:rPr>
        <w:t xml:space="preserve"> </w:t>
      </w:r>
      <w:r w:rsidR="00CE7641" w:rsidRPr="00CE7641">
        <w:rPr>
          <w:rFonts w:cstheme="minorHAnsi"/>
        </w:rPr>
        <w:t>svar</w:t>
      </w:r>
      <w:r>
        <w:rPr>
          <w:rFonts w:cstheme="minorHAnsi"/>
        </w:rPr>
        <w:t xml:space="preserve">u </w:t>
      </w:r>
      <w:r w:rsidR="00A46D70">
        <w:rPr>
          <w:rFonts w:cstheme="minorHAnsi"/>
        </w:rPr>
        <w:t>v</w:t>
      </w:r>
      <w:r w:rsidR="00A46D70" w:rsidRPr="00A46D70">
        <w:rPr>
          <w:rFonts w:cstheme="minorHAnsi"/>
        </w:rPr>
        <w:t xml:space="preserve"> souladu s</w:t>
      </w:r>
      <w:r w:rsidR="00A46D70">
        <w:rPr>
          <w:rFonts w:cstheme="minorHAnsi"/>
        </w:rPr>
        <w:t xml:space="preserve"> normou </w:t>
      </w:r>
      <w:r w:rsidR="00A46D70" w:rsidRPr="00A46D70">
        <w:rPr>
          <w:rFonts w:cstheme="minorHAnsi"/>
        </w:rPr>
        <w:t>EN 970 a EN 13018</w:t>
      </w:r>
      <w:r w:rsidR="00A46D70">
        <w:rPr>
          <w:rFonts w:cstheme="minorHAnsi"/>
        </w:rPr>
        <w:t xml:space="preserve"> </w:t>
      </w:r>
      <w:r>
        <w:rPr>
          <w:rFonts w:cstheme="minorHAnsi"/>
        </w:rPr>
        <w:t xml:space="preserve">a zaznamená do písemného </w:t>
      </w:r>
      <w:r w:rsidR="00CC0BB8">
        <w:rPr>
          <w:rFonts w:cstheme="minorHAnsi"/>
        </w:rPr>
        <w:t>protokolu jakékoliv nedostatky</w:t>
      </w:r>
      <w:r w:rsidR="00A46D70">
        <w:rPr>
          <w:rFonts w:cstheme="minorHAnsi"/>
        </w:rPr>
        <w:t xml:space="preserve"> a uvede </w:t>
      </w:r>
      <w:r w:rsidR="00CC0BB8">
        <w:rPr>
          <w:rFonts w:cstheme="minorHAnsi"/>
        </w:rPr>
        <w:t xml:space="preserve">způsob plánované či </w:t>
      </w:r>
      <w:r w:rsidR="00A46D70">
        <w:rPr>
          <w:rFonts w:cstheme="minorHAnsi"/>
        </w:rPr>
        <w:t xml:space="preserve">již provedené </w:t>
      </w:r>
      <w:r w:rsidR="00CC0BB8">
        <w:rPr>
          <w:rFonts w:cstheme="minorHAnsi"/>
        </w:rPr>
        <w:t>nápravy</w:t>
      </w:r>
      <w:r w:rsidR="00CE7641" w:rsidRPr="004A6F13">
        <w:rPr>
          <w:rFonts w:cstheme="minorHAnsi"/>
        </w:rPr>
        <w:t xml:space="preserve">. </w:t>
      </w:r>
    </w:p>
    <w:p w14:paraId="1E13C784" w14:textId="2710D05F" w:rsidR="00CE7641" w:rsidRPr="004A6F13" w:rsidRDefault="00CC0BB8" w:rsidP="00CE7641">
      <w:pPr>
        <w:spacing w:before="0" w:after="100" w:afterAutospacing="1"/>
        <w:outlineLvl w:val="1"/>
        <w:rPr>
          <w:rFonts w:cstheme="minorHAnsi"/>
        </w:rPr>
      </w:pPr>
      <w:r>
        <w:rPr>
          <w:rFonts w:cstheme="minorHAnsi"/>
        </w:rPr>
        <w:t>(B.</w:t>
      </w:r>
      <w:r w:rsidR="00D1743C">
        <w:rPr>
          <w:rFonts w:cstheme="minorHAnsi"/>
        </w:rPr>
        <w:t>6</w:t>
      </w:r>
      <w:r>
        <w:rPr>
          <w:rFonts w:cstheme="minorHAnsi"/>
        </w:rPr>
        <w:t xml:space="preserve">) U svarů, které budou svářečským dozorem navrženy a Objednatelem/TDS odsouhlaseny budou následně provedeny (i) zkoušky </w:t>
      </w:r>
      <w:r w:rsidR="00CE7641" w:rsidRPr="004A6F13">
        <w:rPr>
          <w:rFonts w:cstheme="minorHAnsi"/>
        </w:rPr>
        <w:t xml:space="preserve">ultrazvukovou metodou </w:t>
      </w:r>
      <w:r w:rsidR="00A46D70">
        <w:rPr>
          <w:rFonts w:cstheme="minorHAnsi"/>
        </w:rPr>
        <w:t xml:space="preserve">v souladu s </w:t>
      </w:r>
      <w:r w:rsidR="00A46D70" w:rsidRPr="00A46D70">
        <w:rPr>
          <w:rFonts w:cstheme="minorHAnsi"/>
        </w:rPr>
        <w:t>norm</w:t>
      </w:r>
      <w:r w:rsidR="00A46D70">
        <w:rPr>
          <w:rFonts w:cstheme="minorHAnsi"/>
        </w:rPr>
        <w:t>ou</w:t>
      </w:r>
      <w:r w:rsidR="00A46D70" w:rsidRPr="00A46D70">
        <w:rPr>
          <w:rFonts w:cstheme="minorHAnsi"/>
        </w:rPr>
        <w:t xml:space="preserve"> ČSN EN ISO 11666</w:t>
      </w:r>
      <w:r w:rsidR="00A46D70">
        <w:rPr>
          <w:rFonts w:cstheme="minorHAnsi"/>
        </w:rPr>
        <w:t xml:space="preserve"> </w:t>
      </w:r>
      <w:r w:rsidR="00CE7641" w:rsidRPr="004A6F13">
        <w:rPr>
          <w:rFonts w:cstheme="minorHAnsi"/>
        </w:rPr>
        <w:t xml:space="preserve">a </w:t>
      </w:r>
      <w:r>
        <w:rPr>
          <w:rFonts w:cstheme="minorHAnsi"/>
        </w:rPr>
        <w:t xml:space="preserve">u nejvíce důležitých úseků (ii) zkoušky </w:t>
      </w:r>
      <w:r w:rsidR="00CE7641" w:rsidRPr="004A6F13">
        <w:rPr>
          <w:rFonts w:cstheme="minorHAnsi"/>
        </w:rPr>
        <w:t xml:space="preserve">metodou </w:t>
      </w:r>
      <w:r w:rsidR="00A46D70">
        <w:rPr>
          <w:rFonts w:cstheme="minorHAnsi"/>
        </w:rPr>
        <w:t>radiografickou</w:t>
      </w:r>
      <w:r w:rsidR="00D87824">
        <w:rPr>
          <w:rFonts w:cstheme="minorHAnsi"/>
        </w:rPr>
        <w:t xml:space="preserve"> v souladu s normou ČSN EN ISO 17636</w:t>
      </w:r>
      <w:r w:rsidR="00CE7641" w:rsidRPr="004A6F13">
        <w:rPr>
          <w:rFonts w:cstheme="minorHAnsi"/>
        </w:rPr>
        <w:t xml:space="preserve">. </w:t>
      </w:r>
      <w:r w:rsidR="00517D1F">
        <w:rPr>
          <w:rFonts w:cstheme="minorHAnsi"/>
        </w:rPr>
        <w:t>Počet kontrol s</w:t>
      </w:r>
      <w:r w:rsidR="00517D1F" w:rsidRPr="004A6F13">
        <w:rPr>
          <w:rFonts w:cstheme="minorHAnsi"/>
        </w:rPr>
        <w:t>var</w:t>
      </w:r>
      <w:r w:rsidR="00517D1F">
        <w:rPr>
          <w:rFonts w:cstheme="minorHAnsi"/>
        </w:rPr>
        <w:t xml:space="preserve">ů jednou či druhou z metod bude určen nabídkou dodavatele. </w:t>
      </w:r>
      <w:r w:rsidR="00D87824">
        <w:rPr>
          <w:rFonts w:cstheme="minorHAnsi"/>
        </w:rPr>
        <w:t xml:space="preserve">Kontroly bude provádět pracovník Dodavatele disponující prokazatelně nezbytnou kvalifikací/oprávněním dle </w:t>
      </w:r>
      <w:r w:rsidR="00D87824" w:rsidRPr="00D87824">
        <w:rPr>
          <w:rFonts w:cstheme="minorHAnsi"/>
        </w:rPr>
        <w:t>ČSN EN ISO 9712</w:t>
      </w:r>
      <w:r w:rsidR="00D87824">
        <w:rPr>
          <w:rFonts w:cstheme="minorHAnsi"/>
        </w:rPr>
        <w:t xml:space="preserve"> a v</w:t>
      </w:r>
      <w:r w:rsidR="00D87824" w:rsidRPr="00D87824">
        <w:rPr>
          <w:rFonts w:cstheme="minorHAnsi"/>
        </w:rPr>
        <w:t xml:space="preserve">ýsledek zkoušek musí být zdokumentován </w:t>
      </w:r>
      <w:r w:rsidR="00D87824">
        <w:rPr>
          <w:rFonts w:cstheme="minorHAnsi"/>
        </w:rPr>
        <w:t xml:space="preserve">v souladu s normou </w:t>
      </w:r>
      <w:r w:rsidR="00D87824" w:rsidRPr="00D87824">
        <w:rPr>
          <w:rFonts w:cstheme="minorHAnsi"/>
        </w:rPr>
        <w:t>EN ISO 3834-2.</w:t>
      </w:r>
      <w:r w:rsidR="00D87824">
        <w:rPr>
          <w:rFonts w:cstheme="minorHAnsi"/>
        </w:rPr>
        <w:t xml:space="preserve"> </w:t>
      </w:r>
      <w:r w:rsidR="00CE7641" w:rsidRPr="004A6F13">
        <w:rPr>
          <w:rFonts w:cstheme="minorHAnsi"/>
        </w:rPr>
        <w:t xml:space="preserve">Každý svar, který </w:t>
      </w:r>
      <w:r>
        <w:rPr>
          <w:rFonts w:cstheme="minorHAnsi"/>
        </w:rPr>
        <w:t xml:space="preserve">této </w:t>
      </w:r>
      <w:r w:rsidR="00CE7641" w:rsidRPr="004A6F13">
        <w:rPr>
          <w:rFonts w:cstheme="minorHAnsi"/>
        </w:rPr>
        <w:t>kontrole</w:t>
      </w:r>
      <w:r w:rsidR="00B9114A">
        <w:rPr>
          <w:rFonts w:cstheme="minorHAnsi"/>
        </w:rPr>
        <w:t xml:space="preserve"> ve smyslu</w:t>
      </w:r>
      <w:r w:rsidR="00517D1F">
        <w:rPr>
          <w:rFonts w:cstheme="minorHAnsi"/>
        </w:rPr>
        <w:t xml:space="preserve"> normy </w:t>
      </w:r>
      <w:r w:rsidR="00517D1F" w:rsidRPr="00517D1F">
        <w:rPr>
          <w:rFonts w:cstheme="minorHAnsi"/>
        </w:rPr>
        <w:t>ČSN EN ISO 17640</w:t>
      </w:r>
      <w:r w:rsidR="00517D1F">
        <w:rPr>
          <w:rFonts w:cstheme="minorHAnsi"/>
        </w:rPr>
        <w:t xml:space="preserve"> (</w:t>
      </w:r>
      <w:r w:rsidR="00517D1F" w:rsidRPr="00517D1F">
        <w:rPr>
          <w:rFonts w:cstheme="minorHAnsi"/>
        </w:rPr>
        <w:t>hodnocení svarů ultrazvukem</w:t>
      </w:r>
      <w:r w:rsidR="00517D1F">
        <w:rPr>
          <w:rFonts w:cstheme="minorHAnsi"/>
        </w:rPr>
        <w:t xml:space="preserve">) respektive normy </w:t>
      </w:r>
      <w:r w:rsidR="00B9114A" w:rsidRPr="00B9114A">
        <w:rPr>
          <w:rStyle w:val="Zdraznn"/>
          <w:rFonts w:eastAsiaTheme="majorEastAsia"/>
          <w:i w:val="0"/>
          <w:iCs w:val="0"/>
        </w:rPr>
        <w:t>ČSN EN 12517</w:t>
      </w:r>
      <w:r w:rsidR="00B9114A" w:rsidRPr="00B9114A">
        <w:rPr>
          <w:rStyle w:val="Zdraznn"/>
          <w:rFonts w:eastAsiaTheme="majorEastAsia"/>
          <w:i w:val="0"/>
          <w:iCs w:val="0"/>
        </w:rPr>
        <w:noBreakHyphen/>
        <w:t>1</w:t>
      </w:r>
      <w:r w:rsidR="00B9114A">
        <w:rPr>
          <w:rStyle w:val="Zdraznn"/>
          <w:rFonts w:eastAsiaTheme="majorEastAsia"/>
          <w:i w:val="0"/>
          <w:iCs w:val="0"/>
        </w:rPr>
        <w:t xml:space="preserve"> </w:t>
      </w:r>
      <w:r w:rsidR="00517D1F">
        <w:rPr>
          <w:rStyle w:val="Zdraznn"/>
          <w:rFonts w:eastAsiaTheme="majorEastAsia"/>
          <w:i w:val="0"/>
          <w:iCs w:val="0"/>
        </w:rPr>
        <w:t>(radiografické</w:t>
      </w:r>
      <w:r w:rsidR="00517D1F" w:rsidRPr="00517D1F">
        <w:rPr>
          <w:rStyle w:val="Zdraznn"/>
          <w:rFonts w:eastAsiaTheme="majorEastAsia"/>
          <w:i w:val="0"/>
          <w:iCs w:val="0"/>
        </w:rPr>
        <w:t xml:space="preserve"> hodnocení svarů</w:t>
      </w:r>
      <w:r w:rsidR="00517D1F">
        <w:rPr>
          <w:rStyle w:val="Zdraznn"/>
          <w:rFonts w:eastAsiaTheme="majorEastAsia"/>
          <w:i w:val="0"/>
          <w:iCs w:val="0"/>
        </w:rPr>
        <w:t xml:space="preserve">) </w:t>
      </w:r>
      <w:r w:rsidR="00B9114A" w:rsidRPr="004A6F13">
        <w:rPr>
          <w:rFonts w:cstheme="minorHAnsi"/>
        </w:rPr>
        <w:t>nevyhoví</w:t>
      </w:r>
      <w:r w:rsidR="00CE7641" w:rsidRPr="004A6F13">
        <w:rPr>
          <w:rFonts w:cstheme="minorHAnsi"/>
        </w:rPr>
        <w:t>, musí být opraven a zkouška provedena znovu.</w:t>
      </w:r>
      <w:r w:rsidR="00AC4113">
        <w:rPr>
          <w:rFonts w:cstheme="minorHAnsi"/>
        </w:rPr>
        <w:t xml:space="preserve"> </w:t>
      </w:r>
      <w:r w:rsidR="00B9114A">
        <w:rPr>
          <w:rFonts w:cstheme="minorHAnsi"/>
        </w:rPr>
        <w:t xml:space="preserve">Vyskytne-li se u </w:t>
      </w:r>
      <w:r w:rsidR="00AC4113" w:rsidRPr="00AC4113">
        <w:rPr>
          <w:rFonts w:cstheme="minorHAnsi"/>
        </w:rPr>
        <w:t>příslušného svářeče</w:t>
      </w:r>
      <w:r w:rsidR="00B9114A">
        <w:rPr>
          <w:rFonts w:cstheme="minorHAnsi"/>
        </w:rPr>
        <w:t xml:space="preserve"> </w:t>
      </w:r>
      <w:r w:rsidR="00B9114A" w:rsidRPr="00AC4113">
        <w:rPr>
          <w:rFonts w:cstheme="minorHAnsi"/>
        </w:rPr>
        <w:t>zmetkový svar</w:t>
      </w:r>
      <w:r w:rsidR="00B9114A">
        <w:rPr>
          <w:rFonts w:cstheme="minorHAnsi"/>
        </w:rPr>
        <w:t xml:space="preserve">, </w:t>
      </w:r>
      <w:r w:rsidR="00517D1F">
        <w:rPr>
          <w:rFonts w:cstheme="minorHAnsi"/>
        </w:rPr>
        <w:t>bude provedena na náklady Dodavatele navíc kontrola dvou dalších svarů, které provedl před a po odhaleném zmetkovém svaru. Pokud jeden z nich bude rovněž zjištěn jako nevyhovující, pak bude provedena na náklady Dodavatele dodatečná kontrola veškerých svarů, které v rámci Díla dotyčný svářeč provedl.</w:t>
      </w:r>
    </w:p>
    <w:p w14:paraId="412CB5EB" w14:textId="5607A3E2" w:rsidR="00EA2E29" w:rsidRDefault="00EA2E29" w:rsidP="00EA2E29">
      <w:pPr>
        <w:spacing w:before="0" w:after="100" w:afterAutospacing="1"/>
        <w:outlineLvl w:val="1"/>
        <w:rPr>
          <w:rFonts w:cstheme="minorHAnsi"/>
          <w:b/>
          <w:bCs/>
        </w:rPr>
      </w:pPr>
      <w:r>
        <w:rPr>
          <w:rFonts w:cstheme="minorHAnsi"/>
          <w:b/>
          <w:bCs/>
        </w:rPr>
        <w:t xml:space="preserve">C. Specifikace kontrol dokončených dílčích částí Díla </w:t>
      </w:r>
    </w:p>
    <w:bookmarkEnd w:id="0"/>
    <w:bookmarkEnd w:id="1"/>
    <w:p w14:paraId="7E2D22D0" w14:textId="264F4A68" w:rsidR="00162FD2" w:rsidRDefault="004A6F13" w:rsidP="00517D1F">
      <w:pPr>
        <w:rPr>
          <w:rFonts w:cstheme="minorHAnsi"/>
        </w:rPr>
      </w:pPr>
      <w:r w:rsidRPr="004A6F13">
        <w:rPr>
          <w:rFonts w:cstheme="minorHAnsi"/>
        </w:rPr>
        <w:t>(</w:t>
      </w:r>
      <w:r w:rsidR="00EA2E29">
        <w:rPr>
          <w:rFonts w:cstheme="minorHAnsi"/>
        </w:rPr>
        <w:t>C</w:t>
      </w:r>
      <w:r w:rsidRPr="004A6F13">
        <w:rPr>
          <w:rFonts w:cstheme="minorHAnsi"/>
        </w:rPr>
        <w:t>.1)</w:t>
      </w:r>
      <w:r w:rsidR="00EA2E29">
        <w:rPr>
          <w:rFonts w:cstheme="minorHAnsi"/>
        </w:rPr>
        <w:t xml:space="preserve"> </w:t>
      </w:r>
      <w:r w:rsidR="00517D1F">
        <w:rPr>
          <w:rFonts w:cstheme="minorHAnsi"/>
        </w:rPr>
        <w:t xml:space="preserve">Po provedení montáže každého potrubního úseku jako celku bude </w:t>
      </w:r>
      <w:r w:rsidR="00162FD2">
        <w:rPr>
          <w:rFonts w:cstheme="minorHAnsi"/>
        </w:rPr>
        <w:t xml:space="preserve">provedeno </w:t>
      </w:r>
      <w:r w:rsidR="00162FD2" w:rsidRPr="00517D1F">
        <w:rPr>
          <w:rFonts w:cstheme="minorHAnsi"/>
        </w:rPr>
        <w:t>vyčištěn</w:t>
      </w:r>
      <w:r w:rsidR="00162FD2">
        <w:rPr>
          <w:rFonts w:cstheme="minorHAnsi"/>
        </w:rPr>
        <w:t xml:space="preserve">í a </w:t>
      </w:r>
      <w:r w:rsidR="00162FD2" w:rsidRPr="00517D1F">
        <w:rPr>
          <w:rFonts w:cstheme="minorHAnsi"/>
        </w:rPr>
        <w:t>propláchnutí</w:t>
      </w:r>
      <w:r w:rsidR="00162FD2">
        <w:rPr>
          <w:rFonts w:cstheme="minorHAnsi"/>
        </w:rPr>
        <w:t xml:space="preserve"> a o této skutečnosti bude </w:t>
      </w:r>
      <w:r w:rsidR="00162FD2" w:rsidRPr="00517D1F">
        <w:rPr>
          <w:rFonts w:cstheme="minorHAnsi"/>
        </w:rPr>
        <w:t>proveden zápis do</w:t>
      </w:r>
      <w:r w:rsidR="00162FD2">
        <w:rPr>
          <w:rFonts w:cstheme="minorHAnsi"/>
        </w:rPr>
        <w:t xml:space="preserve"> </w:t>
      </w:r>
      <w:r w:rsidR="00162FD2" w:rsidRPr="00517D1F">
        <w:rPr>
          <w:rFonts w:cstheme="minorHAnsi"/>
        </w:rPr>
        <w:t>stavebního deníku</w:t>
      </w:r>
      <w:r w:rsidR="00162FD2">
        <w:rPr>
          <w:rFonts w:cstheme="minorHAnsi"/>
        </w:rPr>
        <w:t xml:space="preserve">. Dále bude </w:t>
      </w:r>
      <w:r w:rsidR="00162FD2" w:rsidRPr="00517D1F">
        <w:rPr>
          <w:rFonts w:cstheme="minorHAnsi"/>
        </w:rPr>
        <w:t>provedena vizuální kontrola systému, aby se</w:t>
      </w:r>
      <w:r w:rsidR="00162FD2">
        <w:rPr>
          <w:rFonts w:cstheme="minorHAnsi"/>
        </w:rPr>
        <w:t xml:space="preserve"> </w:t>
      </w:r>
      <w:r w:rsidR="00162FD2" w:rsidRPr="00517D1F">
        <w:rPr>
          <w:rFonts w:cstheme="minorHAnsi"/>
        </w:rPr>
        <w:t>zajistilo, že všechny součásti systému, svary a jiné spoje jsou těsné.</w:t>
      </w:r>
    </w:p>
    <w:p w14:paraId="4900D7F8" w14:textId="0EE24E92" w:rsidR="00517D1F" w:rsidRPr="00517D1F" w:rsidRDefault="00162FD2" w:rsidP="00517D1F">
      <w:pPr>
        <w:rPr>
          <w:rFonts w:cstheme="minorHAnsi"/>
        </w:rPr>
      </w:pPr>
      <w:r>
        <w:rPr>
          <w:rFonts w:cstheme="minorHAnsi"/>
        </w:rPr>
        <w:t xml:space="preserve">(C.2) Následně bude provedena </w:t>
      </w:r>
      <w:r w:rsidR="00517D1F">
        <w:rPr>
          <w:rFonts w:cstheme="minorHAnsi"/>
        </w:rPr>
        <w:t xml:space="preserve">tlaková zkouška ve smyslu </w:t>
      </w:r>
      <w:r w:rsidR="00517D1F" w:rsidRPr="00517D1F">
        <w:rPr>
          <w:rFonts w:cstheme="minorHAnsi"/>
        </w:rPr>
        <w:t>kontrol</w:t>
      </w:r>
      <w:r w:rsidR="00517D1F">
        <w:rPr>
          <w:rFonts w:cstheme="minorHAnsi"/>
        </w:rPr>
        <w:t>y</w:t>
      </w:r>
      <w:r w:rsidR="00517D1F" w:rsidRPr="00517D1F">
        <w:rPr>
          <w:rFonts w:cstheme="minorHAnsi"/>
        </w:rPr>
        <w:t xml:space="preserve"> </w:t>
      </w:r>
      <w:r>
        <w:rPr>
          <w:rFonts w:cstheme="minorHAnsi"/>
        </w:rPr>
        <w:t xml:space="preserve">těsnosti a tlakové odolnosti svarů a </w:t>
      </w:r>
      <w:r w:rsidR="00517D1F" w:rsidRPr="00517D1F">
        <w:rPr>
          <w:rFonts w:cstheme="minorHAnsi"/>
        </w:rPr>
        <w:t>přírubových spojů</w:t>
      </w:r>
      <w:r w:rsidR="00244CB9">
        <w:rPr>
          <w:rFonts w:cstheme="minorHAnsi"/>
        </w:rPr>
        <w:t>, a to vždy u vybraného úseku dotyčné potrubní trasy</w:t>
      </w:r>
      <w:r w:rsidR="00517D1F" w:rsidRPr="00517D1F">
        <w:rPr>
          <w:rFonts w:cstheme="minorHAnsi"/>
        </w:rPr>
        <w:t>.</w:t>
      </w:r>
      <w:r w:rsidR="00244CB9" w:rsidRPr="00244CB9">
        <w:rPr>
          <w:rFonts w:cstheme="minorHAnsi"/>
        </w:rPr>
        <w:t xml:space="preserve"> </w:t>
      </w:r>
      <w:r w:rsidR="00244CB9">
        <w:rPr>
          <w:rFonts w:cstheme="minorHAnsi"/>
        </w:rPr>
        <w:t>Pro každý potrubní úsek bude předepsána minimálně jedna tlaková zkouška vybraného úseku, u tras delších než sto metrů minimálně dvě u dvou odlišných úseků a u potrubních tras delších než pět set metrů minimálně tři u tří odlišných úseků. Konkrétní ú</w:t>
      </w:r>
      <w:r w:rsidR="00244CB9" w:rsidRPr="00517D1F">
        <w:rPr>
          <w:rFonts w:cstheme="minorHAnsi"/>
        </w:rPr>
        <w:t xml:space="preserve">seky pro tlakovou zkoušku určí </w:t>
      </w:r>
      <w:r w:rsidR="00244CB9">
        <w:rPr>
          <w:rFonts w:cstheme="minorHAnsi"/>
        </w:rPr>
        <w:t>společně Dodavatel a Objednatel/TDS v rámci kontrolních dnů</w:t>
      </w:r>
      <w:r w:rsidR="00244CB9" w:rsidRPr="00517D1F">
        <w:rPr>
          <w:rFonts w:cstheme="minorHAnsi"/>
        </w:rPr>
        <w:t>.</w:t>
      </w:r>
      <w:r w:rsidR="00517D1F" w:rsidRPr="00517D1F">
        <w:rPr>
          <w:rFonts w:cstheme="minorHAnsi"/>
        </w:rPr>
        <w:t xml:space="preserve"> </w:t>
      </w:r>
      <w:r w:rsidR="00244CB9">
        <w:rPr>
          <w:rFonts w:cstheme="minorHAnsi"/>
        </w:rPr>
        <w:t xml:space="preserve">Každá tlaková </w:t>
      </w:r>
      <w:r>
        <w:rPr>
          <w:rFonts w:cstheme="minorHAnsi"/>
        </w:rPr>
        <w:t>z</w:t>
      </w:r>
      <w:r w:rsidR="00517D1F" w:rsidRPr="00517D1F">
        <w:rPr>
          <w:rFonts w:cstheme="minorHAnsi"/>
        </w:rPr>
        <w:t>koušk</w:t>
      </w:r>
      <w:r>
        <w:rPr>
          <w:rFonts w:cstheme="minorHAnsi"/>
        </w:rPr>
        <w:t>a</w:t>
      </w:r>
      <w:r w:rsidR="00517D1F" w:rsidRPr="00517D1F">
        <w:rPr>
          <w:rFonts w:cstheme="minorHAnsi"/>
        </w:rPr>
        <w:t xml:space="preserve"> bud</w:t>
      </w:r>
      <w:r>
        <w:rPr>
          <w:rFonts w:cstheme="minorHAnsi"/>
        </w:rPr>
        <w:t>e</w:t>
      </w:r>
      <w:r w:rsidR="00517D1F">
        <w:rPr>
          <w:rFonts w:cstheme="minorHAnsi"/>
        </w:rPr>
        <w:t xml:space="preserve"> </w:t>
      </w:r>
      <w:r w:rsidR="00517D1F" w:rsidRPr="00517D1F">
        <w:rPr>
          <w:rFonts w:cstheme="minorHAnsi"/>
        </w:rPr>
        <w:t>proveden</w:t>
      </w:r>
      <w:r>
        <w:rPr>
          <w:rFonts w:cstheme="minorHAnsi"/>
        </w:rPr>
        <w:t>a</w:t>
      </w:r>
      <w:r w:rsidR="00517D1F" w:rsidRPr="00517D1F">
        <w:rPr>
          <w:rFonts w:cstheme="minorHAnsi"/>
        </w:rPr>
        <w:t xml:space="preserve"> </w:t>
      </w:r>
      <w:r w:rsidR="00244CB9">
        <w:rPr>
          <w:rFonts w:cstheme="minorHAnsi"/>
        </w:rPr>
        <w:t xml:space="preserve">v souladu s pravidly </w:t>
      </w:r>
      <w:r>
        <w:rPr>
          <w:rFonts w:cstheme="minorHAnsi"/>
        </w:rPr>
        <w:t xml:space="preserve">normy </w:t>
      </w:r>
      <w:r w:rsidRPr="00517D1F">
        <w:rPr>
          <w:rFonts w:cstheme="minorHAnsi"/>
        </w:rPr>
        <w:t xml:space="preserve">ČSN EN 13 480-5 a </w:t>
      </w:r>
      <w:r>
        <w:rPr>
          <w:rFonts w:cstheme="minorHAnsi"/>
        </w:rPr>
        <w:t xml:space="preserve">normy </w:t>
      </w:r>
      <w:r w:rsidRPr="00517D1F">
        <w:rPr>
          <w:rFonts w:cstheme="minorHAnsi"/>
        </w:rPr>
        <w:t>ČSN EN 13480-3</w:t>
      </w:r>
      <w:r>
        <w:rPr>
          <w:rFonts w:cstheme="minorHAnsi"/>
        </w:rPr>
        <w:t xml:space="preserve">, a to </w:t>
      </w:r>
      <w:r w:rsidR="00244CB9">
        <w:rPr>
          <w:rFonts w:cstheme="minorHAnsi"/>
        </w:rPr>
        <w:t xml:space="preserve">topnou </w:t>
      </w:r>
      <w:r>
        <w:rPr>
          <w:rFonts w:cstheme="minorHAnsi"/>
        </w:rPr>
        <w:t xml:space="preserve">vodou </w:t>
      </w:r>
      <w:r w:rsidR="00517D1F" w:rsidRPr="00517D1F">
        <w:rPr>
          <w:rFonts w:cstheme="minorHAnsi"/>
        </w:rPr>
        <w:t xml:space="preserve">o teplotě </w:t>
      </w:r>
      <w:r w:rsidR="00244CB9">
        <w:rPr>
          <w:rFonts w:cstheme="minorHAnsi"/>
        </w:rPr>
        <w:t>45-</w:t>
      </w:r>
      <w:r w:rsidR="00517D1F" w:rsidRPr="00517D1F">
        <w:rPr>
          <w:rFonts w:cstheme="minorHAnsi"/>
        </w:rPr>
        <w:t>50°C</w:t>
      </w:r>
      <w:r w:rsidR="00517D1F" w:rsidRPr="00E923DF">
        <w:rPr>
          <w:rFonts w:cstheme="minorHAnsi"/>
        </w:rPr>
        <w:t>. Voda pro</w:t>
      </w:r>
      <w:r w:rsidRPr="00E923DF">
        <w:rPr>
          <w:rFonts w:cstheme="minorHAnsi"/>
        </w:rPr>
        <w:t xml:space="preserve"> </w:t>
      </w:r>
      <w:r w:rsidR="00517D1F" w:rsidRPr="00E923DF">
        <w:rPr>
          <w:rFonts w:cstheme="minorHAnsi"/>
        </w:rPr>
        <w:t xml:space="preserve">tlakovou zkoušku bude </w:t>
      </w:r>
      <w:r w:rsidRPr="00E923DF">
        <w:rPr>
          <w:rFonts w:cstheme="minorHAnsi"/>
        </w:rPr>
        <w:t xml:space="preserve">zajištěna </w:t>
      </w:r>
      <w:r w:rsidR="00244CB9" w:rsidRPr="00E923DF">
        <w:rPr>
          <w:rFonts w:cstheme="minorHAnsi"/>
        </w:rPr>
        <w:t>s</w:t>
      </w:r>
      <w:r w:rsidRPr="00E923DF">
        <w:rPr>
          <w:rFonts w:cstheme="minorHAnsi"/>
        </w:rPr>
        <w:t xml:space="preserve"> pomocí Objednatele </w:t>
      </w:r>
      <w:r w:rsidR="00517D1F" w:rsidRPr="00E923DF">
        <w:rPr>
          <w:rFonts w:cstheme="minorHAnsi"/>
        </w:rPr>
        <w:t>a napuštěna do zkoušené</w:t>
      </w:r>
      <w:r w:rsidRPr="00E923DF">
        <w:rPr>
          <w:rFonts w:cstheme="minorHAnsi"/>
        </w:rPr>
        <w:t xml:space="preserve"> potrubní trasy </w:t>
      </w:r>
      <w:r w:rsidR="00517D1F" w:rsidRPr="00E923DF">
        <w:rPr>
          <w:rFonts w:cstheme="minorHAnsi"/>
        </w:rPr>
        <w:t>přes vypouštěcí armatury.</w:t>
      </w:r>
      <w:r w:rsidRPr="00E923DF">
        <w:rPr>
          <w:rFonts w:cstheme="minorHAnsi"/>
        </w:rPr>
        <w:t xml:space="preserve"> </w:t>
      </w:r>
      <w:r w:rsidR="00517D1F" w:rsidRPr="00E923DF">
        <w:rPr>
          <w:rFonts w:cstheme="minorHAnsi"/>
        </w:rPr>
        <w:t xml:space="preserve">Tlaková zkouška </w:t>
      </w:r>
      <w:r w:rsidRPr="00E923DF">
        <w:rPr>
          <w:rFonts w:cstheme="minorHAnsi"/>
        </w:rPr>
        <w:t xml:space="preserve">bude provedena po dobu </w:t>
      </w:r>
      <w:r w:rsidR="00517D1F" w:rsidRPr="00E923DF">
        <w:rPr>
          <w:rFonts w:cstheme="minorHAnsi"/>
        </w:rPr>
        <w:t>1 hod</w:t>
      </w:r>
      <w:r w:rsidRPr="00E923DF">
        <w:rPr>
          <w:rFonts w:cstheme="minorHAnsi"/>
        </w:rPr>
        <w:t>iny</w:t>
      </w:r>
      <w:r w:rsidR="00517D1F" w:rsidRPr="00E923DF">
        <w:rPr>
          <w:rFonts w:cstheme="minorHAnsi"/>
        </w:rPr>
        <w:t xml:space="preserve"> </w:t>
      </w:r>
      <w:r w:rsidRPr="00E923DF">
        <w:rPr>
          <w:rFonts w:cstheme="minorHAnsi"/>
        </w:rPr>
        <w:t xml:space="preserve">a </w:t>
      </w:r>
      <w:r w:rsidR="00517D1F" w:rsidRPr="00E923DF">
        <w:rPr>
          <w:rFonts w:cstheme="minorHAnsi"/>
        </w:rPr>
        <w:t>bude odpovídat 1,43násobku navrhovaného</w:t>
      </w:r>
      <w:r w:rsidRPr="00E923DF">
        <w:rPr>
          <w:rFonts w:cstheme="minorHAnsi"/>
        </w:rPr>
        <w:t xml:space="preserve"> </w:t>
      </w:r>
      <w:r w:rsidRPr="00E923DF">
        <w:rPr>
          <w:rFonts w:cstheme="minorHAnsi"/>
        </w:rPr>
        <w:lastRenderedPageBreak/>
        <w:t xml:space="preserve">provozního </w:t>
      </w:r>
      <w:r w:rsidR="00517D1F" w:rsidRPr="00E923DF">
        <w:rPr>
          <w:rFonts w:cstheme="minorHAnsi"/>
        </w:rPr>
        <w:t xml:space="preserve">tlaku </w:t>
      </w:r>
      <w:r w:rsidRPr="00E923DF">
        <w:rPr>
          <w:rFonts w:cstheme="minorHAnsi"/>
        </w:rPr>
        <w:t>PS</w:t>
      </w:r>
      <w:r w:rsidR="00517D1F" w:rsidRPr="00E923DF">
        <w:rPr>
          <w:rFonts w:cstheme="minorHAnsi"/>
        </w:rPr>
        <w:t>.</w:t>
      </w:r>
      <w:r w:rsidR="00244CB9" w:rsidRPr="00E923DF">
        <w:rPr>
          <w:rFonts w:cstheme="minorHAnsi"/>
        </w:rPr>
        <w:t xml:space="preserve"> </w:t>
      </w:r>
      <w:r w:rsidR="00517D1F" w:rsidRPr="00E923DF">
        <w:rPr>
          <w:rFonts w:cstheme="minorHAnsi"/>
        </w:rPr>
        <w:t>V případě, že bude tlaková zkouška prováděna do plně zavřených kulových</w:t>
      </w:r>
      <w:r w:rsidRPr="00E923DF">
        <w:rPr>
          <w:rFonts w:cstheme="minorHAnsi"/>
        </w:rPr>
        <w:t xml:space="preserve"> </w:t>
      </w:r>
      <w:r w:rsidR="00517D1F" w:rsidRPr="00E923DF">
        <w:rPr>
          <w:rFonts w:cstheme="minorHAnsi"/>
        </w:rPr>
        <w:t>uzávěrů, je nutné tlak při tlakové zkoušce snížit na max. 1,1násobek.</w:t>
      </w:r>
      <w:r>
        <w:rPr>
          <w:rFonts w:cstheme="minorHAnsi"/>
        </w:rPr>
        <w:t xml:space="preserve"> </w:t>
      </w:r>
      <w:r w:rsidR="00E923DF">
        <w:rPr>
          <w:rFonts w:cstheme="minorHAnsi"/>
        </w:rPr>
        <w:t xml:space="preserve">Potřebné měřící vybavení na provedení tlakovou zkoušku zajistí Dodavatel a jejímu každému provedení bude přítomen Objednatel/TDS, pakliže explicitně nedovolí, že zkouška může proběhnout bez jeho přítomnosti. </w:t>
      </w:r>
    </w:p>
    <w:p w14:paraId="366B5370" w14:textId="66ADD8F0" w:rsidR="004A6F13" w:rsidRPr="004A6F13" w:rsidRDefault="004A6F13" w:rsidP="004A6F13">
      <w:pPr>
        <w:rPr>
          <w:rFonts w:cstheme="minorHAnsi"/>
        </w:rPr>
      </w:pPr>
      <w:r w:rsidRPr="004A6F13">
        <w:rPr>
          <w:rFonts w:cstheme="minorHAnsi"/>
        </w:rPr>
        <w:t>(</w:t>
      </w:r>
      <w:r w:rsidR="00CC6995">
        <w:rPr>
          <w:rFonts w:cstheme="minorHAnsi"/>
        </w:rPr>
        <w:t>C</w:t>
      </w:r>
      <w:r w:rsidRPr="004A6F13">
        <w:rPr>
          <w:rFonts w:cstheme="minorHAnsi"/>
        </w:rPr>
        <w:t>.</w:t>
      </w:r>
      <w:r w:rsidR="00E923DF">
        <w:rPr>
          <w:rFonts w:cstheme="minorHAnsi"/>
        </w:rPr>
        <w:t>2</w:t>
      </w:r>
      <w:r w:rsidRPr="004A6F13">
        <w:rPr>
          <w:rFonts w:cstheme="minorHAnsi"/>
        </w:rPr>
        <w:t xml:space="preserve">) </w:t>
      </w:r>
      <w:r w:rsidR="00CC6995">
        <w:rPr>
          <w:rFonts w:cstheme="minorHAnsi"/>
        </w:rPr>
        <w:t xml:space="preserve">Další předepsanou zkouškou každé potrubní trasy bude kontrola </w:t>
      </w:r>
      <w:r w:rsidR="00E923DF">
        <w:rPr>
          <w:rFonts w:cstheme="minorHAnsi"/>
        </w:rPr>
        <w:t xml:space="preserve">řádné funkce regulačních ventilů. </w:t>
      </w:r>
      <w:r w:rsidRPr="004A6F13">
        <w:rPr>
          <w:rFonts w:cstheme="minorHAnsi"/>
        </w:rPr>
        <w:t xml:space="preserve">Regulační ventily musí být </w:t>
      </w:r>
      <w:r w:rsidR="00CC6995">
        <w:rPr>
          <w:rFonts w:cstheme="minorHAnsi"/>
        </w:rPr>
        <w:t>o</w:t>
      </w:r>
      <w:r w:rsidRPr="004A6F13">
        <w:rPr>
          <w:rFonts w:cstheme="minorHAnsi"/>
        </w:rPr>
        <w:t>testovány v celém rozsahu zdvihu, přičemž naměřené parametry musí být porovnány s hodnotami uvedenými v technickém nebo datovém listu výrobce. Ovládací mechanismy nesmějí vykazovat nepravidelný chod, drhnutí ani nadměrný únik média.</w:t>
      </w:r>
    </w:p>
    <w:p w14:paraId="5940C46F" w14:textId="5E301063" w:rsidR="004A6F13" w:rsidRPr="004A6F13" w:rsidRDefault="004A6F13" w:rsidP="004A6F13">
      <w:pPr>
        <w:rPr>
          <w:rFonts w:cstheme="minorHAnsi"/>
        </w:rPr>
      </w:pPr>
      <w:r w:rsidRPr="004A6F13">
        <w:rPr>
          <w:rFonts w:cstheme="minorHAnsi"/>
        </w:rPr>
        <w:t>(</w:t>
      </w:r>
      <w:r w:rsidR="00CC6995">
        <w:rPr>
          <w:rFonts w:cstheme="minorHAnsi"/>
        </w:rPr>
        <w:t>C</w:t>
      </w:r>
      <w:r w:rsidRPr="004A6F13">
        <w:rPr>
          <w:rFonts w:cstheme="minorHAnsi"/>
        </w:rPr>
        <w:t>.</w:t>
      </w:r>
      <w:r w:rsidR="00E923DF">
        <w:rPr>
          <w:rFonts w:cstheme="minorHAnsi"/>
        </w:rPr>
        <w:t>3</w:t>
      </w:r>
      <w:r w:rsidRPr="004A6F13">
        <w:rPr>
          <w:rFonts w:cstheme="minorHAnsi"/>
        </w:rPr>
        <w:t xml:space="preserve">) </w:t>
      </w:r>
      <w:r w:rsidR="00CC6995">
        <w:rPr>
          <w:rFonts w:cstheme="minorHAnsi"/>
        </w:rPr>
        <w:t>Poslední předepsanou zkouškou u každé potrubní trasy bude t</w:t>
      </w:r>
      <w:r w:rsidRPr="004A6F13">
        <w:rPr>
          <w:rFonts w:cstheme="minorHAnsi"/>
        </w:rPr>
        <w:t>ermovizní diagnostika</w:t>
      </w:r>
      <w:r w:rsidR="00CC6995">
        <w:rPr>
          <w:rFonts w:cstheme="minorHAnsi"/>
        </w:rPr>
        <w:t xml:space="preserve">. Provedena bude v příhodné části roku </w:t>
      </w:r>
      <w:r w:rsidRPr="004A6F13">
        <w:rPr>
          <w:rFonts w:cstheme="minorHAnsi"/>
        </w:rPr>
        <w:t xml:space="preserve">po dosažení provozních teplot potrubní soustavy. Termokamera musí </w:t>
      </w:r>
      <w:r w:rsidR="00CC6995">
        <w:rPr>
          <w:rFonts w:cstheme="minorHAnsi"/>
        </w:rPr>
        <w:t xml:space="preserve">vyloučit </w:t>
      </w:r>
      <w:r w:rsidRPr="004A6F13">
        <w:rPr>
          <w:rFonts w:cstheme="minorHAnsi"/>
        </w:rPr>
        <w:t xml:space="preserve">případné lokální tepelné anomálie, tepelné mosty </w:t>
      </w:r>
      <w:r w:rsidR="00CC6995">
        <w:rPr>
          <w:rFonts w:cstheme="minorHAnsi"/>
        </w:rPr>
        <w:t>či</w:t>
      </w:r>
      <w:r w:rsidRPr="004A6F13">
        <w:rPr>
          <w:rFonts w:cstheme="minorHAnsi"/>
        </w:rPr>
        <w:t xml:space="preserve"> nesprávnou distribuci tepla. Vyhodnocení výsledků musí být provedeno s ohledem na projektované teplotní parametry, provozní limity a diagnostické tolerance.</w:t>
      </w:r>
    </w:p>
    <w:p w14:paraId="24BCBCFA" w14:textId="5ECDE7F1" w:rsidR="004A6F13" w:rsidRDefault="00CC6995" w:rsidP="004A6F13">
      <w:pPr>
        <w:rPr>
          <w:rFonts w:cstheme="minorHAnsi"/>
        </w:rPr>
      </w:pPr>
      <w:r>
        <w:rPr>
          <w:rFonts w:cstheme="minorHAnsi"/>
        </w:rPr>
        <w:t>(C.</w:t>
      </w:r>
      <w:r w:rsidR="00E923DF">
        <w:rPr>
          <w:rFonts w:cstheme="minorHAnsi"/>
        </w:rPr>
        <w:t>4</w:t>
      </w:r>
      <w:r>
        <w:rPr>
          <w:rFonts w:cstheme="minorHAnsi"/>
        </w:rPr>
        <w:t>) Výše uvedené zkoušky budou v přiměřeném rozsahu rovněž aplikovány na akumulátory tepla jako součást EGC1.PSHA a EGC2.PSHA a rovněž i potrubní rozvody nízkoteplotní nemrznoucí směsi mezi EGC2 a strojovnou JCI (potrubní trasy EGC2.CHW a EGC2.CW)</w:t>
      </w:r>
      <w:r w:rsidR="00E923DF">
        <w:rPr>
          <w:rFonts w:cstheme="minorHAnsi"/>
        </w:rPr>
        <w:t>.</w:t>
      </w:r>
    </w:p>
    <w:p w14:paraId="35DC4849" w14:textId="03FD0854" w:rsidR="00E923DF" w:rsidRDefault="00E923DF" w:rsidP="004A6F13">
      <w:pPr>
        <w:rPr>
          <w:rFonts w:cstheme="minorHAnsi"/>
        </w:rPr>
      </w:pPr>
      <w:r>
        <w:rPr>
          <w:rFonts w:cstheme="minorHAnsi"/>
        </w:rPr>
        <w:t xml:space="preserve">(C.5) Další samostatnou zkouškou bude prověření systému IACS/ASŘ. Dodavatel za účasti Objednatele/TDS provede předepsaný seznam úkonů, kterými ověří schopnosti systému (i) provést zadaný povel, (ii) identifikovat správným způsobem zjištěné poruchy či abnormální stavy, (iii) zaznamenávat odečty teplot, průtoků, tlaků ad. kontinuálně sledovaných veličin a (iv) provádět syntézu </w:t>
      </w:r>
      <w:r w:rsidR="0077296E">
        <w:rPr>
          <w:rFonts w:cstheme="minorHAnsi"/>
        </w:rPr>
        <w:t xml:space="preserve">historických časových řad a zaznamenávaných údajů </w:t>
      </w:r>
      <w:r>
        <w:rPr>
          <w:rFonts w:cstheme="minorHAnsi"/>
        </w:rPr>
        <w:t xml:space="preserve">a </w:t>
      </w:r>
      <w:r w:rsidR="0077296E">
        <w:rPr>
          <w:rFonts w:cstheme="minorHAnsi"/>
        </w:rPr>
        <w:t xml:space="preserve">automaticky vypočítávat a </w:t>
      </w:r>
      <w:r>
        <w:rPr>
          <w:rFonts w:cstheme="minorHAnsi"/>
        </w:rPr>
        <w:t xml:space="preserve">zobrazovat </w:t>
      </w:r>
      <w:r w:rsidR="0077296E">
        <w:rPr>
          <w:rFonts w:cstheme="minorHAnsi"/>
        </w:rPr>
        <w:t xml:space="preserve">definované klíčové provozní charakteristiky, jakými jsou faktory efektivity provozu tepelných čerpadel (COP, SCOP), dodávky tepla do jednotlivých odběrných míst, provozní teploty atd. </w:t>
      </w:r>
      <w:r>
        <w:rPr>
          <w:rFonts w:cstheme="minorHAnsi"/>
        </w:rPr>
        <w:t xml:space="preserve">   </w:t>
      </w:r>
    </w:p>
    <w:p w14:paraId="3C4FEA75" w14:textId="3CA01D96" w:rsidR="00CC6995" w:rsidRDefault="00CC6995" w:rsidP="004A6F13">
      <w:pPr>
        <w:rPr>
          <w:rFonts w:cstheme="minorHAnsi"/>
        </w:rPr>
      </w:pPr>
    </w:p>
    <w:p w14:paraId="5E326C3E" w14:textId="16E8E88B" w:rsidR="00AC4113" w:rsidRPr="00AC4113" w:rsidRDefault="00AC4113" w:rsidP="00AC4113">
      <w:pPr>
        <w:spacing w:before="0" w:after="100" w:afterAutospacing="1"/>
        <w:outlineLvl w:val="1"/>
        <w:rPr>
          <w:rFonts w:cstheme="minorHAnsi"/>
          <w:b/>
          <w:bCs/>
        </w:rPr>
      </w:pPr>
      <w:r w:rsidRPr="00AC4113">
        <w:rPr>
          <w:rFonts w:cstheme="minorHAnsi"/>
          <w:b/>
          <w:bCs/>
        </w:rPr>
        <w:t>(</w:t>
      </w:r>
      <w:r>
        <w:rPr>
          <w:rFonts w:cstheme="minorHAnsi"/>
          <w:b/>
          <w:bCs/>
        </w:rPr>
        <w:t>D</w:t>
      </w:r>
      <w:r w:rsidRPr="00AC4113">
        <w:rPr>
          <w:rFonts w:cstheme="minorHAnsi"/>
          <w:b/>
          <w:bCs/>
        </w:rPr>
        <w:t xml:space="preserve">) Komplexní ověření funkčnosti celého Díla </w:t>
      </w:r>
    </w:p>
    <w:p w14:paraId="2271AA12" w14:textId="574F254A" w:rsidR="0077296E" w:rsidRDefault="00AC4113" w:rsidP="004A6F13">
      <w:pPr>
        <w:rPr>
          <w:rFonts w:cstheme="minorHAnsi"/>
        </w:rPr>
      </w:pPr>
      <w:r>
        <w:rPr>
          <w:rFonts w:cstheme="minorHAnsi"/>
        </w:rPr>
        <w:t xml:space="preserve">(D.1) Podmínkou komplexního </w:t>
      </w:r>
      <w:r w:rsidR="00E923DF">
        <w:rPr>
          <w:rFonts w:cstheme="minorHAnsi"/>
        </w:rPr>
        <w:t>ověření fun</w:t>
      </w:r>
      <w:r w:rsidR="0077296E">
        <w:rPr>
          <w:rFonts w:cstheme="minorHAnsi"/>
        </w:rPr>
        <w:t>kčnosti celého Díla je řádné dokončení všech jeho dílčích částí a jeho uvedení do zkušebního provozu po dostatečně dlouhé časové období (minimálně po dobu tří měsíců</w:t>
      </w:r>
      <w:r w:rsidR="004A0D86">
        <w:rPr>
          <w:rFonts w:cstheme="minorHAnsi"/>
        </w:rPr>
        <w:t>,</w:t>
      </w:r>
      <w:r w:rsidR="0077296E">
        <w:rPr>
          <w:rFonts w:cstheme="minorHAnsi"/>
        </w:rPr>
        <w:t xml:space="preserve"> respektive po tak dlouhé období, aby zahrnovalo minimálně jeden z měsíců hlavní topné sezóny, kterými jsou prosinec, leden a únor). </w:t>
      </w:r>
    </w:p>
    <w:p w14:paraId="0AE4EEAE" w14:textId="73AEE05B" w:rsidR="004A0D86" w:rsidRDefault="0077296E" w:rsidP="004A6F13">
      <w:pPr>
        <w:rPr>
          <w:rFonts w:cstheme="minorHAnsi"/>
        </w:rPr>
      </w:pPr>
      <w:r>
        <w:rPr>
          <w:rFonts w:cstheme="minorHAnsi"/>
        </w:rPr>
        <w:t xml:space="preserve">(D.2) Funkční zkouška bude mít podobu </w:t>
      </w:r>
      <w:r w:rsidR="004A0D86">
        <w:rPr>
          <w:rFonts w:cstheme="minorHAnsi"/>
        </w:rPr>
        <w:t xml:space="preserve">kombinace tzv. přejímací zkoušky typu SAT, která bude zaměřena na ověření řádné funkce zdrojů tepla a chladu, a dále tzv. </w:t>
      </w:r>
      <w:r>
        <w:rPr>
          <w:rFonts w:cstheme="minorHAnsi"/>
        </w:rPr>
        <w:t>topné zkoušky</w:t>
      </w:r>
      <w:r w:rsidR="004A0D86">
        <w:rPr>
          <w:rFonts w:cstheme="minorHAnsi"/>
        </w:rPr>
        <w:t>, která naopak bude primárně cílit na ověření správného provozu všech ostatních částí Díla.</w:t>
      </w:r>
    </w:p>
    <w:p w14:paraId="25F2DABE" w14:textId="0EFCCFAB" w:rsidR="004A0D86" w:rsidRDefault="004A0D86" w:rsidP="004A0D86">
      <w:pPr>
        <w:rPr>
          <w:rFonts w:cstheme="minorHAnsi"/>
        </w:rPr>
      </w:pPr>
      <w:r>
        <w:rPr>
          <w:rFonts w:cstheme="minorHAnsi"/>
        </w:rPr>
        <w:t xml:space="preserve">(D.3) </w:t>
      </w:r>
      <w:r w:rsidR="009B2C05">
        <w:rPr>
          <w:rFonts w:cstheme="minorHAnsi"/>
        </w:rPr>
        <w:t>Přesné p</w:t>
      </w:r>
      <w:r>
        <w:rPr>
          <w:rFonts w:cstheme="minorHAnsi"/>
        </w:rPr>
        <w:t>ojetí přejímací zkoušky typu SAT pro instalované zdroje tepla a chladu upravuje příloha č. 9(c) zadávací dokumentace DČP č. 1.</w:t>
      </w:r>
      <w:r w:rsidR="009B2C05">
        <w:rPr>
          <w:rFonts w:cstheme="minorHAnsi"/>
        </w:rPr>
        <w:t xml:space="preserve"> Na přípravě a provedení přejímací zkoušky SAT bude Dodavatel aktivně spolupracovat s Objednatelem a dodavatelem DČP č. 1.</w:t>
      </w:r>
    </w:p>
    <w:p w14:paraId="4CF5D8AA" w14:textId="557391BE" w:rsidR="00BF1D10" w:rsidRDefault="004A0D86" w:rsidP="009B2C05">
      <w:pPr>
        <w:rPr>
          <w:rFonts w:cstheme="minorHAnsi"/>
        </w:rPr>
      </w:pPr>
      <w:r>
        <w:rPr>
          <w:rFonts w:cstheme="minorHAnsi"/>
        </w:rPr>
        <w:t xml:space="preserve">(D.4) V případě topné zkoušky </w:t>
      </w:r>
      <w:r w:rsidR="009B2C05">
        <w:rPr>
          <w:rFonts w:cstheme="minorHAnsi"/>
        </w:rPr>
        <w:t xml:space="preserve">se předpokládá provozní test naplánovaný </w:t>
      </w:r>
      <w:r w:rsidR="00BF1D10">
        <w:rPr>
          <w:rFonts w:cstheme="minorHAnsi"/>
        </w:rPr>
        <w:t xml:space="preserve">jako souvislý časový úsek trvající alespoň </w:t>
      </w:r>
      <w:r w:rsidR="0077296E">
        <w:rPr>
          <w:rFonts w:cstheme="minorHAnsi"/>
        </w:rPr>
        <w:t>72 hodin</w:t>
      </w:r>
      <w:r w:rsidR="009B2C05">
        <w:rPr>
          <w:rFonts w:cstheme="minorHAnsi"/>
        </w:rPr>
        <w:t xml:space="preserve">, jehož </w:t>
      </w:r>
      <w:r w:rsidR="0077296E">
        <w:rPr>
          <w:rFonts w:cstheme="minorHAnsi"/>
        </w:rPr>
        <w:t xml:space="preserve">přesný začátek a konec bude zvolen pro takové klimatické podmínky, aby alespoň </w:t>
      </w:r>
      <w:r w:rsidR="00BF1D10">
        <w:rPr>
          <w:rFonts w:cstheme="minorHAnsi"/>
        </w:rPr>
        <w:t xml:space="preserve">v </w:t>
      </w:r>
      <w:r w:rsidR="0077296E">
        <w:rPr>
          <w:rFonts w:cstheme="minorHAnsi"/>
        </w:rPr>
        <w:t>jeden ze dnů</w:t>
      </w:r>
      <w:r w:rsidR="00BF1D10">
        <w:rPr>
          <w:rFonts w:cstheme="minorHAnsi"/>
        </w:rPr>
        <w:t xml:space="preserve"> byla podnulová průměrná denní teplota venkovního vzduchu.</w:t>
      </w:r>
    </w:p>
    <w:p w14:paraId="0D7FF20D" w14:textId="50957D1A" w:rsidR="00BF1D10" w:rsidRDefault="00BF1D10" w:rsidP="004A6F13">
      <w:pPr>
        <w:rPr>
          <w:rFonts w:cstheme="minorHAnsi"/>
        </w:rPr>
      </w:pPr>
      <w:r>
        <w:rPr>
          <w:rFonts w:cstheme="minorHAnsi"/>
        </w:rPr>
        <w:t>(D.</w:t>
      </w:r>
      <w:r w:rsidR="009B2C05">
        <w:rPr>
          <w:rFonts w:cstheme="minorHAnsi"/>
        </w:rPr>
        <w:t>5</w:t>
      </w:r>
      <w:r>
        <w:rPr>
          <w:rFonts w:cstheme="minorHAnsi"/>
        </w:rPr>
        <w:t xml:space="preserve">) </w:t>
      </w:r>
      <w:r w:rsidR="009B2C05">
        <w:rPr>
          <w:rFonts w:cstheme="minorHAnsi"/>
        </w:rPr>
        <w:t xml:space="preserve">Během něj budou komplexně ověřovány funkce celého systému ve smyslu výroby a distribuce tepla do jednotlivých odběrných míst v míře dle potřeb a možností systému. Testovány přitom budou různé provozních stavy jednotlivých dílčích částí Díla (běžný provoz jednotlivých zdrojů, akumulátorů tepla, potrubních okruhů a předávacích stanic za různých výkonových úrovní, simulace náhradní dodávky tepla ze záložních výměníků pára-voda ad.). </w:t>
      </w:r>
      <w:r w:rsidRPr="0009547C">
        <w:rPr>
          <w:rFonts w:cstheme="minorHAnsi"/>
        </w:rPr>
        <w:t>Přesný plán topné zkoušky bude mít písemnou podobu a jeho návrh s přihlédnutím k poznatkům získaným v rámci zkušebního provozu vypracuje TDS. Následně jej předloží ke schválení či doplnění ze strany Dodavatele a Objednatele.</w:t>
      </w:r>
      <w:r>
        <w:rPr>
          <w:rFonts w:cstheme="minorHAnsi"/>
        </w:rPr>
        <w:t xml:space="preserve"> </w:t>
      </w:r>
    </w:p>
    <w:p w14:paraId="1918D1C4" w14:textId="7BB21F6F" w:rsidR="004A0D86" w:rsidRDefault="00BF1D10" w:rsidP="004A6F13">
      <w:pPr>
        <w:rPr>
          <w:rFonts w:cstheme="minorHAnsi"/>
        </w:rPr>
      </w:pPr>
      <w:r>
        <w:rPr>
          <w:rFonts w:cstheme="minorHAnsi"/>
        </w:rPr>
        <w:lastRenderedPageBreak/>
        <w:t>(D.</w:t>
      </w:r>
      <w:r w:rsidR="009B2C05">
        <w:rPr>
          <w:rFonts w:cstheme="minorHAnsi"/>
        </w:rPr>
        <w:t>6</w:t>
      </w:r>
      <w:r>
        <w:rPr>
          <w:rFonts w:cstheme="minorHAnsi"/>
        </w:rPr>
        <w:t xml:space="preserve">) Výsledky topné zkoušky budou zaznamenány do písemného protokolu a </w:t>
      </w:r>
      <w:r w:rsidR="004A0D86">
        <w:rPr>
          <w:rFonts w:cstheme="minorHAnsi"/>
        </w:rPr>
        <w:t>zjištěné nedostatky či nesplnění definovaných cílových hodnot a požadovaných funkcí budou předmětem reklamačního řízení s cílem navrhnout vhodný způsob jejich nápravy.</w:t>
      </w:r>
    </w:p>
    <w:p w14:paraId="60647756" w14:textId="0AD28D20" w:rsidR="002136A5" w:rsidRPr="00F9276D" w:rsidRDefault="004A0D86" w:rsidP="004A0D86">
      <w:pPr>
        <w:rPr>
          <w:rFonts w:cstheme="minorHAnsi"/>
          <w:i/>
          <w:iCs/>
        </w:rPr>
      </w:pPr>
      <w:r>
        <w:rPr>
          <w:rFonts w:cstheme="minorHAnsi"/>
        </w:rPr>
        <w:t>(D.</w:t>
      </w:r>
      <w:r w:rsidR="009B2C05">
        <w:rPr>
          <w:rFonts w:cstheme="minorHAnsi"/>
        </w:rPr>
        <w:t>6</w:t>
      </w:r>
      <w:r>
        <w:rPr>
          <w:rFonts w:cstheme="minorHAnsi"/>
        </w:rPr>
        <w:t xml:space="preserve">) </w:t>
      </w:r>
      <w:r w:rsidR="00BF1D10">
        <w:rPr>
          <w:rFonts w:cstheme="minorHAnsi"/>
        </w:rPr>
        <w:t>Další podrobnosti ke komplexnímu ověření funkčnosti celého Díla upřesní Zadavatel v průběhu zadávacího řízení</w:t>
      </w:r>
      <w:r>
        <w:rPr>
          <w:rFonts w:cstheme="minorHAnsi"/>
        </w:rPr>
        <w:t>.</w:t>
      </w:r>
      <w:r w:rsidR="00BF1D10">
        <w:rPr>
          <w:rFonts w:cstheme="minorHAnsi"/>
        </w:rPr>
        <w:t xml:space="preserve">  </w:t>
      </w:r>
    </w:p>
    <w:sectPr w:rsidR="002136A5" w:rsidRPr="00F9276D" w:rsidSect="00C116D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6A9D2" w14:textId="77777777" w:rsidR="00003243" w:rsidRDefault="00003243" w:rsidP="00117BC0">
      <w:pPr>
        <w:spacing w:before="0" w:after="0"/>
      </w:pPr>
      <w:r>
        <w:separator/>
      </w:r>
    </w:p>
  </w:endnote>
  <w:endnote w:type="continuationSeparator" w:id="0">
    <w:p w14:paraId="71C8C459" w14:textId="77777777" w:rsidR="00003243" w:rsidRDefault="00003243" w:rsidP="00117B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847634"/>
      <w:docPartObj>
        <w:docPartGallery w:val="Page Numbers (Bottom of Page)"/>
        <w:docPartUnique/>
      </w:docPartObj>
    </w:sdtPr>
    <w:sdtEndPr/>
    <w:sdtContent>
      <w:p w14:paraId="287A9FF7" w14:textId="4D222FE7" w:rsidR="004A0D86" w:rsidRDefault="004A0D86">
        <w:pPr>
          <w:pStyle w:val="Zpat"/>
          <w:jc w:val="center"/>
        </w:pPr>
        <w:r>
          <w:fldChar w:fldCharType="begin"/>
        </w:r>
        <w:r>
          <w:instrText>PAGE   \* MERGEFORMAT</w:instrText>
        </w:r>
        <w:r>
          <w:fldChar w:fldCharType="separate"/>
        </w:r>
        <w:r>
          <w:t>2</w:t>
        </w:r>
        <w:r>
          <w:fldChar w:fldCharType="end"/>
        </w:r>
        <w:r>
          <w:t>/</w:t>
        </w:r>
        <w:r w:rsidR="008D2434">
          <w:fldChar w:fldCharType="begin"/>
        </w:r>
        <w:r w:rsidR="008D2434">
          <w:instrText xml:space="preserve"> NUMPAGES   \* MERGEFORMAT </w:instrText>
        </w:r>
        <w:r w:rsidR="008D2434">
          <w:fldChar w:fldCharType="separate"/>
        </w:r>
        <w:r>
          <w:rPr>
            <w:noProof/>
          </w:rPr>
          <w:t>4</w:t>
        </w:r>
        <w:r w:rsidR="008D2434">
          <w:rPr>
            <w:noProof/>
          </w:rPr>
          <w:fldChar w:fldCharType="end"/>
        </w:r>
      </w:p>
    </w:sdtContent>
  </w:sdt>
  <w:p w14:paraId="05F10CC8" w14:textId="77777777" w:rsidR="004A0D86" w:rsidRDefault="004A0D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C2822" w14:textId="77777777" w:rsidR="00003243" w:rsidRDefault="00003243" w:rsidP="00117BC0">
      <w:pPr>
        <w:spacing w:before="0" w:after="0"/>
      </w:pPr>
      <w:r>
        <w:separator/>
      </w:r>
    </w:p>
  </w:footnote>
  <w:footnote w:type="continuationSeparator" w:id="0">
    <w:p w14:paraId="67A98F2F" w14:textId="77777777" w:rsidR="00003243" w:rsidRDefault="00003243" w:rsidP="00117BC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65DE" w14:textId="6534FBF5" w:rsidR="008B652B" w:rsidRPr="008B652B" w:rsidRDefault="008B652B" w:rsidP="008B652B">
    <w:pPr>
      <w:spacing w:line="276" w:lineRule="auto"/>
      <w:jc w:val="center"/>
      <w:rPr>
        <w:rFonts w:ascii="Candara" w:hAnsi="Candara"/>
        <w:bCs/>
        <w:caps/>
      </w:rPr>
    </w:pPr>
    <w:r w:rsidRPr="008B652B">
      <w:rPr>
        <w:rFonts w:ascii="Candara" w:hAnsi="Candara"/>
        <w:bCs/>
        <w:caps/>
      </w:rPr>
      <w:t xml:space="preserve">„Instalace tepelných čerpadel a modernizace zdrojů chladu za účelem využívání odpadního tepla – </w:t>
    </w:r>
    <w:r w:rsidR="000157EA" w:rsidRPr="008B652B">
      <w:rPr>
        <w:rFonts w:ascii="Candara" w:hAnsi="Candara"/>
        <w:bCs/>
        <w:caps/>
      </w:rPr>
      <w:t xml:space="preserve">DČP č. </w:t>
    </w:r>
    <w:r w:rsidR="000157EA">
      <w:rPr>
        <w:rFonts w:ascii="Candara" w:hAnsi="Candara"/>
        <w:bCs/>
        <w:caps/>
      </w:rPr>
      <w:t>2</w:t>
    </w:r>
    <w:r w:rsidR="000157EA" w:rsidRPr="008B652B">
      <w:rPr>
        <w:rFonts w:ascii="Candara" w:hAnsi="Candara"/>
        <w:bCs/>
        <w:caps/>
      </w:rPr>
      <w:t xml:space="preserve">: </w:t>
    </w:r>
    <w:r w:rsidR="000157EA">
      <w:rPr>
        <w:rFonts w:ascii="Candara" w:hAnsi="Candara"/>
        <w:bCs/>
        <w:caps/>
      </w:rPr>
      <w:t>instalace zdrojů a provedení systému distribuce tepla</w:t>
    </w:r>
    <w:r w:rsidRPr="008B652B">
      <w:rPr>
        <w:rFonts w:ascii="Candara" w:hAnsi="Candara"/>
        <w:bCs/>
        <w:caps/>
      </w:rPr>
      <w:t>“</w:t>
    </w:r>
  </w:p>
  <w:p w14:paraId="6940CF35" w14:textId="77777777" w:rsidR="008B652B" w:rsidRPr="008B652B" w:rsidRDefault="008B652B" w:rsidP="008B652B">
    <w:pPr>
      <w:pStyle w:val="Zhlav"/>
      <w:pBdr>
        <w:bottom w:val="single" w:sz="4" w:space="1" w:color="auto"/>
      </w:pBd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87225"/>
    <w:multiLevelType w:val="multilevel"/>
    <w:tmpl w:val="8D3CBE70"/>
    <w:lvl w:ilvl="0">
      <w:start w:val="1"/>
      <w:numFmt w:val="upperLetter"/>
      <w:lvlText w:val="%1."/>
      <w:lvlJc w:val="left"/>
      <w:pPr>
        <w:tabs>
          <w:tab w:val="num" w:pos="0"/>
        </w:tabs>
        <w:ind w:left="1935" w:hanging="360"/>
      </w:pPr>
    </w:lvl>
    <w:lvl w:ilvl="1">
      <w:start w:val="1"/>
      <w:numFmt w:val="lowerLetter"/>
      <w:lvlText w:val="%2."/>
      <w:lvlJc w:val="left"/>
      <w:pPr>
        <w:tabs>
          <w:tab w:val="num" w:pos="0"/>
        </w:tabs>
        <w:ind w:left="2655" w:hanging="360"/>
      </w:pPr>
    </w:lvl>
    <w:lvl w:ilvl="2">
      <w:start w:val="1"/>
      <w:numFmt w:val="lowerRoman"/>
      <w:lvlText w:val="%3."/>
      <w:lvlJc w:val="right"/>
      <w:pPr>
        <w:tabs>
          <w:tab w:val="num" w:pos="0"/>
        </w:tabs>
        <w:ind w:left="3375" w:hanging="180"/>
      </w:pPr>
    </w:lvl>
    <w:lvl w:ilvl="3">
      <w:start w:val="1"/>
      <w:numFmt w:val="decimal"/>
      <w:lvlText w:val="%4."/>
      <w:lvlJc w:val="left"/>
      <w:pPr>
        <w:tabs>
          <w:tab w:val="num" w:pos="0"/>
        </w:tabs>
        <w:ind w:left="4095" w:hanging="360"/>
      </w:pPr>
    </w:lvl>
    <w:lvl w:ilvl="4">
      <w:start w:val="1"/>
      <w:numFmt w:val="lowerLetter"/>
      <w:lvlText w:val="%5."/>
      <w:lvlJc w:val="left"/>
      <w:pPr>
        <w:tabs>
          <w:tab w:val="num" w:pos="0"/>
        </w:tabs>
        <w:ind w:left="4815" w:hanging="360"/>
      </w:pPr>
    </w:lvl>
    <w:lvl w:ilvl="5">
      <w:start w:val="1"/>
      <w:numFmt w:val="lowerRoman"/>
      <w:lvlText w:val="%6."/>
      <w:lvlJc w:val="right"/>
      <w:pPr>
        <w:tabs>
          <w:tab w:val="num" w:pos="0"/>
        </w:tabs>
        <w:ind w:left="5535" w:hanging="180"/>
      </w:pPr>
    </w:lvl>
    <w:lvl w:ilvl="6">
      <w:start w:val="1"/>
      <w:numFmt w:val="decimal"/>
      <w:lvlText w:val="%7."/>
      <w:lvlJc w:val="left"/>
      <w:pPr>
        <w:tabs>
          <w:tab w:val="num" w:pos="0"/>
        </w:tabs>
        <w:ind w:left="6255" w:hanging="360"/>
      </w:pPr>
    </w:lvl>
    <w:lvl w:ilvl="7">
      <w:start w:val="1"/>
      <w:numFmt w:val="lowerLetter"/>
      <w:lvlText w:val="%8."/>
      <w:lvlJc w:val="left"/>
      <w:pPr>
        <w:tabs>
          <w:tab w:val="num" w:pos="0"/>
        </w:tabs>
        <w:ind w:left="6975" w:hanging="360"/>
      </w:pPr>
    </w:lvl>
    <w:lvl w:ilvl="8">
      <w:start w:val="1"/>
      <w:numFmt w:val="lowerRoman"/>
      <w:lvlText w:val="%9."/>
      <w:lvlJc w:val="right"/>
      <w:pPr>
        <w:tabs>
          <w:tab w:val="num" w:pos="0"/>
        </w:tabs>
        <w:ind w:left="7695" w:hanging="180"/>
      </w:pPr>
    </w:lvl>
  </w:abstractNum>
  <w:abstractNum w:abstractNumId="1" w15:restartNumberingAfterBreak="0">
    <w:nsid w:val="122C50F6"/>
    <w:multiLevelType w:val="multilevel"/>
    <w:tmpl w:val="1E2287B0"/>
    <w:lvl w:ilvl="0">
      <w:start w:val="1"/>
      <w:numFmt w:val="decimal"/>
      <w:pStyle w:val="Nadpis1"/>
      <w:lvlText w:val="%1."/>
      <w:lvlJc w:val="left"/>
      <w:pPr>
        <w:ind w:left="502"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ind w:left="718" w:hanging="576"/>
      </w:pPr>
      <w:rPr>
        <w:rFonts w:ascii="Arial" w:hAnsi="Arial" w:cs="Arial"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30736EC5"/>
    <w:multiLevelType w:val="hybridMultilevel"/>
    <w:tmpl w:val="AD645C30"/>
    <w:lvl w:ilvl="0" w:tplc="93D0198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1096EB0"/>
    <w:multiLevelType w:val="hybridMultilevel"/>
    <w:tmpl w:val="D7C8D6B0"/>
    <w:lvl w:ilvl="0" w:tplc="B3BE3768">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CD6A62"/>
    <w:multiLevelType w:val="hybridMultilevel"/>
    <w:tmpl w:val="072450FC"/>
    <w:lvl w:ilvl="0" w:tplc="93D0198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DF0A75"/>
    <w:multiLevelType w:val="hybridMultilevel"/>
    <w:tmpl w:val="D8F48F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5476CB1"/>
    <w:multiLevelType w:val="hybridMultilevel"/>
    <w:tmpl w:val="768C6416"/>
    <w:lvl w:ilvl="0" w:tplc="89F647B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1416F59"/>
    <w:multiLevelType w:val="hybridMultilevel"/>
    <w:tmpl w:val="09623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CDA366F"/>
    <w:multiLevelType w:val="hybridMultilevel"/>
    <w:tmpl w:val="D7C8D6B0"/>
    <w:lvl w:ilvl="0" w:tplc="B3BE3768">
      <w:start w:val="1"/>
      <w:numFmt w:val="lowerRoman"/>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5"/>
  </w:num>
  <w:num w:numId="6">
    <w:abstractNumId w:val="4"/>
  </w:num>
  <w:num w:numId="7">
    <w:abstractNumId w:val="2"/>
  </w:num>
  <w:num w:numId="8">
    <w:abstractNumId w:val="0"/>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9D7"/>
    <w:rsid w:val="00003243"/>
    <w:rsid w:val="00012EB9"/>
    <w:rsid w:val="000157EA"/>
    <w:rsid w:val="00042255"/>
    <w:rsid w:val="00074C7A"/>
    <w:rsid w:val="00083F03"/>
    <w:rsid w:val="0009547C"/>
    <w:rsid w:val="000A06CF"/>
    <w:rsid w:val="000C6303"/>
    <w:rsid w:val="000D09D6"/>
    <w:rsid w:val="000D499E"/>
    <w:rsid w:val="00107252"/>
    <w:rsid w:val="001128B5"/>
    <w:rsid w:val="00117BC0"/>
    <w:rsid w:val="00162FD2"/>
    <w:rsid w:val="00173144"/>
    <w:rsid w:val="001A06E7"/>
    <w:rsid w:val="001C29D7"/>
    <w:rsid w:val="001C4913"/>
    <w:rsid w:val="001D01D6"/>
    <w:rsid w:val="00210CB1"/>
    <w:rsid w:val="002136A5"/>
    <w:rsid w:val="002342C3"/>
    <w:rsid w:val="0024312C"/>
    <w:rsid w:val="00244CB9"/>
    <w:rsid w:val="00275245"/>
    <w:rsid w:val="002C569B"/>
    <w:rsid w:val="002D244D"/>
    <w:rsid w:val="002E1101"/>
    <w:rsid w:val="002E79AC"/>
    <w:rsid w:val="003430B3"/>
    <w:rsid w:val="00351333"/>
    <w:rsid w:val="00355DAE"/>
    <w:rsid w:val="003642B9"/>
    <w:rsid w:val="00374910"/>
    <w:rsid w:val="00374C27"/>
    <w:rsid w:val="00407D62"/>
    <w:rsid w:val="0043039F"/>
    <w:rsid w:val="004A0D86"/>
    <w:rsid w:val="004A6F13"/>
    <w:rsid w:val="004D22B6"/>
    <w:rsid w:val="004E0FAE"/>
    <w:rsid w:val="004F0849"/>
    <w:rsid w:val="004F3EF5"/>
    <w:rsid w:val="004F7793"/>
    <w:rsid w:val="00517D1F"/>
    <w:rsid w:val="00532652"/>
    <w:rsid w:val="00550746"/>
    <w:rsid w:val="0058626F"/>
    <w:rsid w:val="0059277A"/>
    <w:rsid w:val="005D5FDD"/>
    <w:rsid w:val="005D7E00"/>
    <w:rsid w:val="005F25B3"/>
    <w:rsid w:val="006018F5"/>
    <w:rsid w:val="00627B82"/>
    <w:rsid w:val="006A7946"/>
    <w:rsid w:val="006C56A1"/>
    <w:rsid w:val="006F017C"/>
    <w:rsid w:val="006F2D82"/>
    <w:rsid w:val="006F78B7"/>
    <w:rsid w:val="00706FFB"/>
    <w:rsid w:val="00723E1C"/>
    <w:rsid w:val="00724EFE"/>
    <w:rsid w:val="0073779A"/>
    <w:rsid w:val="00740DEB"/>
    <w:rsid w:val="007460C5"/>
    <w:rsid w:val="007625D1"/>
    <w:rsid w:val="0077296E"/>
    <w:rsid w:val="00781C8A"/>
    <w:rsid w:val="00782E4B"/>
    <w:rsid w:val="007A400A"/>
    <w:rsid w:val="008103F0"/>
    <w:rsid w:val="00881F84"/>
    <w:rsid w:val="00886494"/>
    <w:rsid w:val="008A55F3"/>
    <w:rsid w:val="008B09B0"/>
    <w:rsid w:val="008B5852"/>
    <w:rsid w:val="008B652B"/>
    <w:rsid w:val="008D2434"/>
    <w:rsid w:val="008E08B7"/>
    <w:rsid w:val="00904358"/>
    <w:rsid w:val="009819DF"/>
    <w:rsid w:val="009B2C05"/>
    <w:rsid w:val="009D070D"/>
    <w:rsid w:val="00A06100"/>
    <w:rsid w:val="00A464EB"/>
    <w:rsid w:val="00A46D70"/>
    <w:rsid w:val="00A65DCA"/>
    <w:rsid w:val="00AC4113"/>
    <w:rsid w:val="00B10864"/>
    <w:rsid w:val="00B125B8"/>
    <w:rsid w:val="00B22897"/>
    <w:rsid w:val="00B63B2D"/>
    <w:rsid w:val="00B733F8"/>
    <w:rsid w:val="00B9114A"/>
    <w:rsid w:val="00BC5090"/>
    <w:rsid w:val="00BD0DEA"/>
    <w:rsid w:val="00BF1D10"/>
    <w:rsid w:val="00C012A5"/>
    <w:rsid w:val="00C0177E"/>
    <w:rsid w:val="00C116D5"/>
    <w:rsid w:val="00C656AF"/>
    <w:rsid w:val="00C66CBB"/>
    <w:rsid w:val="00CB5666"/>
    <w:rsid w:val="00CC0BB8"/>
    <w:rsid w:val="00CC6995"/>
    <w:rsid w:val="00CE3A4A"/>
    <w:rsid w:val="00CE7641"/>
    <w:rsid w:val="00D03B03"/>
    <w:rsid w:val="00D1743C"/>
    <w:rsid w:val="00D82E60"/>
    <w:rsid w:val="00D87824"/>
    <w:rsid w:val="00D93E02"/>
    <w:rsid w:val="00D97DD8"/>
    <w:rsid w:val="00DA2352"/>
    <w:rsid w:val="00DC5878"/>
    <w:rsid w:val="00DD0C52"/>
    <w:rsid w:val="00DD47C6"/>
    <w:rsid w:val="00DF25BC"/>
    <w:rsid w:val="00E115AA"/>
    <w:rsid w:val="00E12834"/>
    <w:rsid w:val="00E250E8"/>
    <w:rsid w:val="00E37B4C"/>
    <w:rsid w:val="00E37EF5"/>
    <w:rsid w:val="00E44B59"/>
    <w:rsid w:val="00E50B8B"/>
    <w:rsid w:val="00E823DF"/>
    <w:rsid w:val="00E8632E"/>
    <w:rsid w:val="00E921FF"/>
    <w:rsid w:val="00E923DF"/>
    <w:rsid w:val="00EA2E29"/>
    <w:rsid w:val="00EF215F"/>
    <w:rsid w:val="00EF5E95"/>
    <w:rsid w:val="00EF6DE7"/>
    <w:rsid w:val="00F1332B"/>
    <w:rsid w:val="00F34615"/>
    <w:rsid w:val="00FA450C"/>
    <w:rsid w:val="00FC64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41755"/>
  <w15:chartTrackingRefBased/>
  <w15:docId w15:val="{4CDA7413-54B4-4281-8A4E-D2E10AEF0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7BC0"/>
    <w:pPr>
      <w:spacing w:before="120" w:after="120" w:line="240" w:lineRule="auto"/>
      <w:jc w:val="both"/>
    </w:pPr>
    <w:rPr>
      <w:rFonts w:eastAsia="Times New Roman" w:cs="Arial"/>
      <w:lang w:eastAsia="cs-CZ"/>
    </w:rPr>
  </w:style>
  <w:style w:type="paragraph" w:styleId="Nadpis1">
    <w:name w:val="heading 1"/>
    <w:basedOn w:val="Normln"/>
    <w:next w:val="Normln"/>
    <w:link w:val="Nadpis1Char"/>
    <w:qFormat/>
    <w:rsid w:val="00117BC0"/>
    <w:pPr>
      <w:keepNext/>
      <w:numPr>
        <w:numId w:val="1"/>
      </w:numPr>
      <w:spacing w:before="240" w:after="240"/>
      <w:outlineLvl w:val="0"/>
    </w:pPr>
    <w:rPr>
      <w:b/>
      <w:kern w:val="28"/>
      <w:sz w:val="28"/>
      <w:szCs w:val="20"/>
    </w:rPr>
  </w:style>
  <w:style w:type="paragraph" w:styleId="Nadpis2">
    <w:name w:val="heading 2"/>
    <w:basedOn w:val="Nadpis1"/>
    <w:next w:val="Normln"/>
    <w:link w:val="Nadpis2Char"/>
    <w:autoRedefine/>
    <w:unhideWhenUsed/>
    <w:qFormat/>
    <w:rsid w:val="00117BC0"/>
    <w:pPr>
      <w:keepLines/>
      <w:numPr>
        <w:ilvl w:val="1"/>
      </w:numPr>
      <w:ind w:left="578" w:hanging="578"/>
      <w:outlineLvl w:val="1"/>
    </w:pPr>
    <w:rPr>
      <w:rFonts w:eastAsiaTheme="majorEastAsia" w:cstheme="majorBidi"/>
      <w:sz w:val="24"/>
      <w:szCs w:val="24"/>
    </w:rPr>
  </w:style>
  <w:style w:type="paragraph" w:styleId="Nadpis3">
    <w:name w:val="heading 3"/>
    <w:aliases w:val="Nadpis 3 úroveň,Nadpis 3 úroveò"/>
    <w:basedOn w:val="Normln"/>
    <w:next w:val="Normln"/>
    <w:link w:val="Nadpis3Char"/>
    <w:unhideWhenUsed/>
    <w:qFormat/>
    <w:rsid w:val="00117BC0"/>
    <w:pPr>
      <w:keepNext/>
      <w:keepLines/>
      <w:numPr>
        <w:ilvl w:val="2"/>
        <w:numId w:val="1"/>
      </w:numPr>
      <w:spacing w:before="240" w:after="240"/>
      <w:outlineLvl w:val="2"/>
    </w:pPr>
    <w:rPr>
      <w:rFonts w:eastAsiaTheme="majorEastAsia"/>
      <w:b/>
      <w:sz w:val="24"/>
    </w:rPr>
  </w:style>
  <w:style w:type="paragraph" w:styleId="Nadpis6">
    <w:name w:val="heading 6"/>
    <w:basedOn w:val="Normln"/>
    <w:next w:val="Zkladntext"/>
    <w:link w:val="Nadpis6Char"/>
    <w:qFormat/>
    <w:rsid w:val="00117BC0"/>
    <w:pPr>
      <w:keepNext/>
      <w:numPr>
        <w:ilvl w:val="5"/>
        <w:numId w:val="1"/>
      </w:numPr>
      <w:spacing w:after="80" w:line="276" w:lineRule="auto"/>
      <w:jc w:val="left"/>
      <w:outlineLvl w:val="5"/>
    </w:pPr>
    <w:rPr>
      <w:b/>
      <w:i/>
      <w:snapToGrid w:val="0"/>
      <w:kern w:val="28"/>
      <w:szCs w:val="20"/>
      <w:lang w:eastAsia="ko-KR"/>
    </w:rPr>
  </w:style>
  <w:style w:type="paragraph" w:styleId="Nadpis7">
    <w:name w:val="heading 7"/>
    <w:basedOn w:val="Normln"/>
    <w:next w:val="Zkladntext"/>
    <w:link w:val="Nadpis7Char"/>
    <w:qFormat/>
    <w:rsid w:val="00117BC0"/>
    <w:pPr>
      <w:keepNext/>
      <w:numPr>
        <w:ilvl w:val="6"/>
        <w:numId w:val="1"/>
      </w:numPr>
      <w:spacing w:before="80" w:after="60" w:line="276" w:lineRule="auto"/>
      <w:jc w:val="left"/>
      <w:outlineLvl w:val="6"/>
    </w:pPr>
    <w:rPr>
      <w:rFonts w:ascii="Times New Roman" w:hAnsi="Times New Roman"/>
      <w:b/>
      <w:snapToGrid w:val="0"/>
      <w:kern w:val="28"/>
      <w:szCs w:val="20"/>
      <w:lang w:eastAsia="ko-KR"/>
    </w:rPr>
  </w:style>
  <w:style w:type="paragraph" w:styleId="Nadpis8">
    <w:name w:val="heading 8"/>
    <w:basedOn w:val="Normln"/>
    <w:next w:val="Zkladntext"/>
    <w:link w:val="Nadpis8Char"/>
    <w:qFormat/>
    <w:rsid w:val="00117BC0"/>
    <w:pPr>
      <w:keepNext/>
      <w:numPr>
        <w:ilvl w:val="7"/>
        <w:numId w:val="1"/>
      </w:numPr>
      <w:spacing w:before="80" w:after="60" w:line="276" w:lineRule="auto"/>
      <w:jc w:val="left"/>
      <w:outlineLvl w:val="7"/>
    </w:pPr>
    <w:rPr>
      <w:rFonts w:ascii="Times New Roman" w:hAnsi="Times New Roman"/>
      <w:b/>
      <w:i/>
      <w:snapToGrid w:val="0"/>
      <w:kern w:val="28"/>
      <w:szCs w:val="20"/>
      <w:lang w:eastAsia="ko-KR"/>
    </w:rPr>
  </w:style>
  <w:style w:type="paragraph" w:styleId="Nadpis9">
    <w:name w:val="heading 9"/>
    <w:basedOn w:val="Normln"/>
    <w:next w:val="Zkladntext"/>
    <w:link w:val="Nadpis9Char"/>
    <w:qFormat/>
    <w:rsid w:val="00117BC0"/>
    <w:pPr>
      <w:keepNext/>
      <w:numPr>
        <w:ilvl w:val="8"/>
        <w:numId w:val="1"/>
      </w:numPr>
      <w:spacing w:before="80" w:after="60" w:line="276" w:lineRule="auto"/>
      <w:jc w:val="left"/>
      <w:outlineLvl w:val="8"/>
    </w:pPr>
    <w:rPr>
      <w:rFonts w:ascii="Times New Roman" w:hAnsi="Times New Roman"/>
      <w:b/>
      <w:i/>
      <w:snapToGrid w:val="0"/>
      <w:kern w:val="28"/>
      <w:szCs w:val="20"/>
      <w:lang w:eastAsia="ko-K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7BC0"/>
    <w:rPr>
      <w:rFonts w:eastAsia="Times New Roman" w:cs="Arial"/>
      <w:b/>
      <w:kern w:val="28"/>
      <w:sz w:val="28"/>
      <w:szCs w:val="20"/>
      <w:lang w:eastAsia="cs-CZ"/>
    </w:rPr>
  </w:style>
  <w:style w:type="character" w:customStyle="1" w:styleId="Nadpis2Char">
    <w:name w:val="Nadpis 2 Char"/>
    <w:basedOn w:val="Standardnpsmoodstavce"/>
    <w:link w:val="Nadpis2"/>
    <w:rsid w:val="00117BC0"/>
    <w:rPr>
      <w:rFonts w:eastAsiaTheme="majorEastAsia" w:cstheme="majorBidi"/>
      <w:b/>
      <w:kern w:val="28"/>
      <w:sz w:val="24"/>
      <w:szCs w:val="24"/>
      <w:lang w:eastAsia="cs-CZ"/>
    </w:rPr>
  </w:style>
  <w:style w:type="character" w:customStyle="1" w:styleId="Nadpis3Char">
    <w:name w:val="Nadpis 3 Char"/>
    <w:aliases w:val="Nadpis 3 úroveň Char,Nadpis 3 úroveò Char"/>
    <w:basedOn w:val="Standardnpsmoodstavce"/>
    <w:link w:val="Nadpis3"/>
    <w:rsid w:val="00117BC0"/>
    <w:rPr>
      <w:rFonts w:eastAsiaTheme="majorEastAsia" w:cs="Arial"/>
      <w:b/>
      <w:sz w:val="24"/>
      <w:lang w:eastAsia="cs-CZ"/>
    </w:rPr>
  </w:style>
  <w:style w:type="character" w:customStyle="1" w:styleId="Nadpis6Char">
    <w:name w:val="Nadpis 6 Char"/>
    <w:basedOn w:val="Standardnpsmoodstavce"/>
    <w:link w:val="Nadpis6"/>
    <w:rsid w:val="00117BC0"/>
    <w:rPr>
      <w:rFonts w:eastAsia="Times New Roman" w:cs="Arial"/>
      <w:b/>
      <w:i/>
      <w:snapToGrid w:val="0"/>
      <w:kern w:val="28"/>
      <w:szCs w:val="20"/>
      <w:lang w:eastAsia="ko-KR"/>
    </w:rPr>
  </w:style>
  <w:style w:type="character" w:customStyle="1" w:styleId="Nadpis7Char">
    <w:name w:val="Nadpis 7 Char"/>
    <w:basedOn w:val="Standardnpsmoodstavce"/>
    <w:link w:val="Nadpis7"/>
    <w:rsid w:val="00117BC0"/>
    <w:rPr>
      <w:rFonts w:ascii="Times New Roman" w:eastAsia="Times New Roman" w:hAnsi="Times New Roman" w:cs="Arial"/>
      <w:b/>
      <w:snapToGrid w:val="0"/>
      <w:kern w:val="28"/>
      <w:szCs w:val="20"/>
      <w:lang w:eastAsia="ko-KR"/>
    </w:rPr>
  </w:style>
  <w:style w:type="character" w:customStyle="1" w:styleId="Nadpis8Char">
    <w:name w:val="Nadpis 8 Char"/>
    <w:basedOn w:val="Standardnpsmoodstavce"/>
    <w:link w:val="Nadpis8"/>
    <w:rsid w:val="00117BC0"/>
    <w:rPr>
      <w:rFonts w:ascii="Times New Roman" w:eastAsia="Times New Roman" w:hAnsi="Times New Roman" w:cs="Arial"/>
      <w:b/>
      <w:i/>
      <w:snapToGrid w:val="0"/>
      <w:kern w:val="28"/>
      <w:szCs w:val="20"/>
      <w:lang w:eastAsia="ko-KR"/>
    </w:rPr>
  </w:style>
  <w:style w:type="character" w:customStyle="1" w:styleId="Nadpis9Char">
    <w:name w:val="Nadpis 9 Char"/>
    <w:basedOn w:val="Standardnpsmoodstavce"/>
    <w:link w:val="Nadpis9"/>
    <w:rsid w:val="00117BC0"/>
    <w:rPr>
      <w:rFonts w:ascii="Times New Roman" w:eastAsia="Times New Roman" w:hAnsi="Times New Roman" w:cs="Arial"/>
      <w:b/>
      <w:i/>
      <w:snapToGrid w:val="0"/>
      <w:kern w:val="28"/>
      <w:szCs w:val="20"/>
      <w:lang w:eastAsia="ko-KR"/>
    </w:rPr>
  </w:style>
  <w:style w:type="paragraph" w:styleId="Zhlav">
    <w:name w:val="header"/>
    <w:basedOn w:val="Normln"/>
    <w:link w:val="ZhlavChar"/>
    <w:rsid w:val="00117BC0"/>
    <w:pPr>
      <w:tabs>
        <w:tab w:val="center" w:pos="4536"/>
        <w:tab w:val="right" w:pos="9072"/>
      </w:tabs>
    </w:pPr>
  </w:style>
  <w:style w:type="character" w:customStyle="1" w:styleId="ZhlavChar">
    <w:name w:val="Záhlaví Char"/>
    <w:basedOn w:val="Standardnpsmoodstavce"/>
    <w:link w:val="Zhlav"/>
    <w:rsid w:val="00117BC0"/>
    <w:rPr>
      <w:rFonts w:eastAsia="Times New Roman" w:cs="Arial"/>
      <w:lang w:eastAsia="cs-CZ"/>
    </w:rPr>
  </w:style>
  <w:style w:type="character" w:styleId="Hypertextovodkaz">
    <w:name w:val="Hyperlink"/>
    <w:basedOn w:val="Standardnpsmoodstavce"/>
    <w:uiPriority w:val="99"/>
    <w:rsid w:val="00117BC0"/>
    <w:rPr>
      <w:color w:val="0000FF"/>
      <w:u w:val="single"/>
    </w:rPr>
  </w:style>
  <w:style w:type="paragraph" w:styleId="Obsah1">
    <w:name w:val="toc 1"/>
    <w:basedOn w:val="Normln"/>
    <w:next w:val="Normln"/>
    <w:autoRedefine/>
    <w:uiPriority w:val="39"/>
    <w:rsid w:val="00117BC0"/>
    <w:pPr>
      <w:tabs>
        <w:tab w:val="left" w:pos="284"/>
        <w:tab w:val="right" w:leader="dot" w:pos="9072"/>
      </w:tabs>
      <w:spacing w:line="276" w:lineRule="auto"/>
    </w:pPr>
    <w:rPr>
      <w:rFonts w:ascii="Calibri" w:eastAsia="SimSun" w:hAnsi="Calibri"/>
      <w:b/>
      <w:bCs/>
      <w:caps/>
      <w:noProof/>
      <w:szCs w:val="20"/>
      <w:lang w:eastAsia="ko-KR"/>
    </w:rPr>
  </w:style>
  <w:style w:type="paragraph" w:styleId="Zkladntext">
    <w:name w:val="Body Text"/>
    <w:basedOn w:val="Normln"/>
    <w:link w:val="ZkladntextChar"/>
    <w:uiPriority w:val="99"/>
    <w:semiHidden/>
    <w:unhideWhenUsed/>
    <w:rsid w:val="00117BC0"/>
  </w:style>
  <w:style w:type="character" w:customStyle="1" w:styleId="ZkladntextChar">
    <w:name w:val="Základní text Char"/>
    <w:basedOn w:val="Standardnpsmoodstavce"/>
    <w:link w:val="Zkladntext"/>
    <w:uiPriority w:val="99"/>
    <w:semiHidden/>
    <w:rsid w:val="00117BC0"/>
    <w:rPr>
      <w:rFonts w:eastAsia="Times New Roman" w:cs="Arial"/>
      <w:lang w:eastAsia="cs-CZ"/>
    </w:rPr>
  </w:style>
  <w:style w:type="paragraph" w:styleId="Zpat">
    <w:name w:val="footer"/>
    <w:basedOn w:val="Normln"/>
    <w:link w:val="ZpatChar"/>
    <w:uiPriority w:val="99"/>
    <w:unhideWhenUsed/>
    <w:rsid w:val="00117BC0"/>
    <w:pPr>
      <w:tabs>
        <w:tab w:val="center" w:pos="4536"/>
        <w:tab w:val="right" w:pos="9072"/>
      </w:tabs>
      <w:spacing w:before="0" w:after="0"/>
    </w:pPr>
  </w:style>
  <w:style w:type="character" w:customStyle="1" w:styleId="ZpatChar">
    <w:name w:val="Zápatí Char"/>
    <w:basedOn w:val="Standardnpsmoodstavce"/>
    <w:link w:val="Zpat"/>
    <w:uiPriority w:val="99"/>
    <w:rsid w:val="00117BC0"/>
    <w:rPr>
      <w:rFonts w:eastAsia="Times New Roman" w:cs="Arial"/>
      <w:lang w:eastAsia="cs-CZ"/>
    </w:rPr>
  </w:style>
  <w:style w:type="table" w:customStyle="1" w:styleId="GEABlue">
    <w:name w:val="GEA Blue"/>
    <w:basedOn w:val="Normlntabulka"/>
    <w:uiPriority w:val="99"/>
    <w:rsid w:val="00117BC0"/>
    <w:pPr>
      <w:spacing w:after="0" w:line="240" w:lineRule="auto"/>
    </w:pPr>
    <w:rPr>
      <w:sz w:val="20"/>
      <w:szCs w:val="20"/>
      <w:lang w:val="de-DE"/>
    </w:rPr>
    <w:tblPr>
      <w:tblStyleRowBandSize w:val="1"/>
      <w:tblStyleColBandSize w:val="1"/>
      <w:tblBorders>
        <w:insideH w:val="single" w:sz="4" w:space="0" w:color="44546A" w:themeColor="text2"/>
      </w:tblBorders>
      <w:tblCellMar>
        <w:top w:w="57" w:type="dxa"/>
        <w:bottom w:w="57" w:type="dxa"/>
      </w:tblCellMar>
    </w:tblPr>
    <w:tblStylePr w:type="firstRow">
      <w:rPr>
        <w:b/>
        <w:color w:val="auto"/>
      </w:rPr>
    </w:tblStylePr>
    <w:tblStylePr w:type="firstCol">
      <w:rPr>
        <w:b/>
      </w:rPr>
      <w:tblPr/>
      <w:tcPr>
        <w:shd w:val="clear" w:color="auto" w:fill="E6E6E6"/>
      </w:tcPr>
    </w:tblStylePr>
    <w:tblStylePr w:type="band2Vert">
      <w:tblPr/>
      <w:tcPr>
        <w:shd w:val="clear" w:color="auto" w:fill="E6E6E6"/>
      </w:tcPr>
    </w:tblStylePr>
    <w:tblStylePr w:type="band2Horz">
      <w:tblPr/>
      <w:tcPr>
        <w:shd w:val="clear" w:color="auto" w:fill="E6E6E6"/>
      </w:tcPr>
    </w:tblStylePr>
  </w:style>
  <w:style w:type="paragraph" w:styleId="Odstavecseseznamem">
    <w:name w:val="List Paragraph"/>
    <w:basedOn w:val="Normln"/>
    <w:uiPriority w:val="34"/>
    <w:qFormat/>
    <w:rsid w:val="00117BC0"/>
    <w:pPr>
      <w:ind w:left="720"/>
      <w:contextualSpacing/>
    </w:pPr>
  </w:style>
  <w:style w:type="table" w:styleId="Mkatabulky">
    <w:name w:val="Table Grid"/>
    <w:basedOn w:val="Normlntabulka"/>
    <w:uiPriority w:val="39"/>
    <w:rsid w:val="002C5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EF6DE7"/>
    <w:rPr>
      <w:color w:val="808080"/>
    </w:rPr>
  </w:style>
  <w:style w:type="paragraph" w:styleId="Bezmezer">
    <w:name w:val="No Spacing"/>
    <w:uiPriority w:val="1"/>
    <w:qFormat/>
    <w:rsid w:val="00DD0C52"/>
    <w:pPr>
      <w:spacing w:after="0" w:line="240" w:lineRule="auto"/>
      <w:jc w:val="both"/>
    </w:pPr>
    <w:rPr>
      <w:rFonts w:eastAsia="Times New Roman" w:cs="Arial"/>
      <w:lang w:eastAsia="cs-CZ"/>
    </w:rPr>
  </w:style>
  <w:style w:type="character" w:styleId="Zdraznn">
    <w:name w:val="Emphasis"/>
    <w:basedOn w:val="Standardnpsmoodstavce"/>
    <w:uiPriority w:val="20"/>
    <w:qFormat/>
    <w:rsid w:val="00B911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5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C0D7-A2C2-41B6-B619-03792887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1568</Words>
  <Characters>9256</Characters>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2026-01-08T23:28:00Z</dcterms:created>
  <dcterms:modified xsi:type="dcterms:W3CDTF">2026-01-14T19:49:00Z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2025-10-17T09:20:28Z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ebfdfce3-cbf4-42a2-bf02-39156f7348b9</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