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E37DA" w14:textId="1B569AE6" w:rsidR="00441BE7" w:rsidRPr="00441BE7" w:rsidRDefault="00441BE7" w:rsidP="00441BE7">
      <w:pPr>
        <w:pStyle w:val="Seznamploh"/>
        <w:numPr>
          <w:ilvl w:val="0"/>
          <w:numId w:val="0"/>
        </w:numPr>
        <w:spacing w:before="60" w:after="60"/>
        <w:ind w:left="295" w:hanging="295"/>
        <w:jc w:val="center"/>
        <w:rPr>
          <w:b/>
        </w:rPr>
      </w:pPr>
      <w:bookmarkStart w:id="0" w:name="_Hlk219726244"/>
      <w:bookmarkStart w:id="1" w:name="bookmark0"/>
      <w:r w:rsidRPr="00441BE7">
        <w:rPr>
          <w:b/>
        </w:rPr>
        <w:t>Příloha č. 7 Technické požadavky na vozidla a výchozí upřesnění k využití vozidel</w:t>
      </w:r>
    </w:p>
    <w:bookmarkEnd w:id="0"/>
    <w:p w14:paraId="2FA0AD12" w14:textId="77777777" w:rsidR="00441BE7" w:rsidRDefault="00441BE7" w:rsidP="00F00449">
      <w:pPr>
        <w:pStyle w:val="Nadpis10"/>
        <w:keepNext/>
        <w:keepLines/>
        <w:shd w:val="clear" w:color="auto" w:fill="auto"/>
        <w:spacing w:after="120" w:line="310" w:lineRule="exact"/>
        <w:ind w:left="20"/>
        <w:rPr>
          <w:rStyle w:val="Nadpis11"/>
          <w:rFonts w:ascii="Times New Roman" w:hAnsi="Times New Roman" w:cs="Times New Roman"/>
          <w:sz w:val="22"/>
          <w:szCs w:val="22"/>
        </w:rPr>
      </w:pPr>
    </w:p>
    <w:p w14:paraId="3D776DA1" w14:textId="560C442F" w:rsidR="0058024B" w:rsidRDefault="005611B7" w:rsidP="00F00449">
      <w:pPr>
        <w:pStyle w:val="Nadpis10"/>
        <w:keepNext/>
        <w:keepLines/>
        <w:shd w:val="clear" w:color="auto" w:fill="auto"/>
        <w:spacing w:after="120" w:line="310" w:lineRule="exact"/>
        <w:ind w:left="20"/>
        <w:rPr>
          <w:rStyle w:val="Nadpis11"/>
          <w:rFonts w:ascii="Times New Roman" w:hAnsi="Times New Roman" w:cs="Times New Roman"/>
          <w:sz w:val="22"/>
          <w:szCs w:val="22"/>
        </w:rPr>
      </w:pPr>
      <w:r w:rsidRPr="00B94AFA">
        <w:rPr>
          <w:rStyle w:val="Nadpis11"/>
          <w:rFonts w:ascii="Times New Roman" w:hAnsi="Times New Roman" w:cs="Times New Roman"/>
          <w:sz w:val="22"/>
          <w:szCs w:val="22"/>
        </w:rPr>
        <w:t>Podrobné požadavky na kvalitu a vybavení BEMU jednotek</w:t>
      </w:r>
      <w:bookmarkEnd w:id="1"/>
    </w:p>
    <w:p w14:paraId="13E17119" w14:textId="77777777" w:rsidR="00441BE7" w:rsidRPr="00B94AFA" w:rsidRDefault="00441BE7" w:rsidP="00F00449">
      <w:pPr>
        <w:pStyle w:val="Nadpis10"/>
        <w:keepNext/>
        <w:keepLines/>
        <w:shd w:val="clear" w:color="auto" w:fill="auto"/>
        <w:spacing w:after="120" w:line="310" w:lineRule="exact"/>
        <w:ind w:left="20"/>
        <w:rPr>
          <w:rFonts w:ascii="Times New Roman" w:hAnsi="Times New Roman" w:cs="Times New Roman"/>
          <w:sz w:val="22"/>
          <w:szCs w:val="22"/>
        </w:rPr>
      </w:pPr>
    </w:p>
    <w:p w14:paraId="50F2152D" w14:textId="77777777" w:rsidR="0058024B" w:rsidRPr="00B94AFA" w:rsidRDefault="005611B7" w:rsidP="00F00449">
      <w:pPr>
        <w:pStyle w:val="Nadpis30"/>
        <w:keepNext/>
        <w:keepLines/>
        <w:shd w:val="clear" w:color="auto" w:fill="auto"/>
        <w:spacing w:before="0" w:after="120" w:line="210" w:lineRule="exact"/>
        <w:ind w:left="20"/>
        <w:rPr>
          <w:rFonts w:ascii="Times New Roman" w:hAnsi="Times New Roman" w:cs="Times New Roman"/>
          <w:sz w:val="22"/>
          <w:szCs w:val="22"/>
        </w:rPr>
      </w:pPr>
      <w:bookmarkStart w:id="2" w:name="bookmark2"/>
      <w:r w:rsidRPr="00B94AFA">
        <w:rPr>
          <w:rFonts w:ascii="Times New Roman" w:hAnsi="Times New Roman" w:cs="Times New Roman"/>
          <w:sz w:val="22"/>
          <w:szCs w:val="22"/>
        </w:rPr>
        <w:t>5x vozidlo BEMU s kapacitou 121 až 150 míst k sezení</w:t>
      </w:r>
      <w:bookmarkEnd w:id="2"/>
    </w:p>
    <w:p w14:paraId="72232E65" w14:textId="77777777" w:rsidR="0058024B" w:rsidRPr="00B94AFA" w:rsidRDefault="005611B7" w:rsidP="00F00449">
      <w:pPr>
        <w:pStyle w:val="Zkladntext1"/>
        <w:shd w:val="clear" w:color="auto" w:fill="auto"/>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Vozidla musí být k zahájení plnění Smlouvy nová a Dopravce musí vybrat výrobce procesem dle Zákona o zadávání veřejných zakázek.</w:t>
      </w:r>
    </w:p>
    <w:p w14:paraId="4AB7CABB" w14:textId="77777777" w:rsidR="0058024B" w:rsidRPr="00B94AFA" w:rsidRDefault="005611B7" w:rsidP="00F00449">
      <w:pPr>
        <w:pStyle w:val="Zkladntext1"/>
        <w:shd w:val="clear" w:color="auto" w:fill="auto"/>
        <w:spacing w:after="120" w:line="312"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 xml:space="preserve">Vozidla musí splňovat všechny podmínky stanovené Výzvou </w:t>
      </w:r>
      <w:proofErr w:type="spellStart"/>
      <w:r w:rsidRPr="00B94AFA">
        <w:rPr>
          <w:rFonts w:ascii="Times New Roman" w:hAnsi="Times New Roman" w:cs="Times New Roman"/>
          <w:sz w:val="22"/>
          <w:szCs w:val="22"/>
        </w:rPr>
        <w:t>TRANSGov</w:t>
      </w:r>
      <w:proofErr w:type="spellEnd"/>
      <w:r w:rsidRPr="00B94AFA">
        <w:rPr>
          <w:rFonts w:ascii="Times New Roman" w:hAnsi="Times New Roman" w:cs="Times New Roman"/>
          <w:sz w:val="22"/>
          <w:szCs w:val="22"/>
        </w:rPr>
        <w:t xml:space="preserve"> č. 1/2024 - Modernizace dopravy (I. + II. kolo).</w:t>
      </w:r>
    </w:p>
    <w:p w14:paraId="12006337" w14:textId="6CE6B6E8" w:rsidR="00817B34" w:rsidRPr="005611B7" w:rsidRDefault="00817B34" w:rsidP="00F00449">
      <w:pPr>
        <w:pStyle w:val="Zkladntext1"/>
        <w:spacing w:after="120" w:line="312" w:lineRule="exact"/>
        <w:ind w:left="20" w:right="20"/>
        <w:jc w:val="both"/>
        <w:rPr>
          <w:rFonts w:ascii="Times New Roman" w:hAnsi="Times New Roman" w:cs="Times New Roman"/>
          <w:b/>
          <w:bCs/>
          <w:sz w:val="22"/>
          <w:szCs w:val="22"/>
        </w:rPr>
      </w:pPr>
      <w:r w:rsidRPr="005611B7">
        <w:rPr>
          <w:rFonts w:ascii="Times New Roman" w:hAnsi="Times New Roman" w:cs="Times New Roman"/>
          <w:b/>
          <w:bCs/>
          <w:sz w:val="22"/>
          <w:szCs w:val="22"/>
          <w:highlight w:val="red"/>
        </w:rPr>
        <w:t xml:space="preserve">Vozidla musí být kombinovaného pohonu elektrickou energií z trakčního vedení (3kV DC i 25 </w:t>
      </w:r>
      <w:proofErr w:type="spellStart"/>
      <w:r w:rsidRPr="005611B7">
        <w:rPr>
          <w:rFonts w:ascii="Times New Roman" w:hAnsi="Times New Roman" w:cs="Times New Roman"/>
          <w:b/>
          <w:bCs/>
          <w:sz w:val="22"/>
          <w:szCs w:val="22"/>
          <w:highlight w:val="red"/>
        </w:rPr>
        <w:t>kV</w:t>
      </w:r>
      <w:proofErr w:type="spellEnd"/>
      <w:r w:rsidRPr="005611B7">
        <w:rPr>
          <w:rFonts w:ascii="Times New Roman" w:hAnsi="Times New Roman" w:cs="Times New Roman"/>
          <w:b/>
          <w:bCs/>
          <w:sz w:val="22"/>
          <w:szCs w:val="22"/>
          <w:highlight w:val="red"/>
        </w:rPr>
        <w:t>/50 Hz</w:t>
      </w:r>
      <w:r w:rsidR="00B94AFA" w:rsidRPr="005611B7">
        <w:rPr>
          <w:rFonts w:ascii="Times New Roman" w:hAnsi="Times New Roman" w:cs="Times New Roman"/>
          <w:b/>
          <w:bCs/>
          <w:sz w:val="22"/>
          <w:szCs w:val="22"/>
          <w:highlight w:val="red"/>
        </w:rPr>
        <w:t xml:space="preserve"> </w:t>
      </w:r>
      <w:r w:rsidRPr="005611B7">
        <w:rPr>
          <w:rFonts w:ascii="Times New Roman" w:hAnsi="Times New Roman" w:cs="Times New Roman"/>
          <w:b/>
          <w:bCs/>
          <w:sz w:val="22"/>
          <w:szCs w:val="22"/>
          <w:highlight w:val="red"/>
        </w:rPr>
        <w:t>AC) a z</w:t>
      </w:r>
      <w:r w:rsidR="00B94AFA" w:rsidRPr="005611B7">
        <w:rPr>
          <w:rFonts w:ascii="Times New Roman" w:hAnsi="Times New Roman" w:cs="Times New Roman"/>
          <w:b/>
          <w:bCs/>
          <w:sz w:val="22"/>
          <w:szCs w:val="22"/>
          <w:highlight w:val="red"/>
        </w:rPr>
        <w:t xml:space="preserve"> </w:t>
      </w:r>
      <w:r w:rsidRPr="005611B7">
        <w:rPr>
          <w:rFonts w:ascii="Times New Roman" w:hAnsi="Times New Roman" w:cs="Times New Roman"/>
          <w:b/>
          <w:bCs/>
          <w:sz w:val="22"/>
          <w:szCs w:val="22"/>
          <w:highlight w:val="red"/>
        </w:rPr>
        <w:t>trakční baterie.</w:t>
      </w:r>
      <w:r w:rsidRPr="005611B7">
        <w:rPr>
          <w:rFonts w:ascii="Times New Roman" w:hAnsi="Times New Roman" w:cs="Times New Roman"/>
          <w:b/>
          <w:bCs/>
          <w:sz w:val="22"/>
          <w:szCs w:val="22"/>
        </w:rPr>
        <w:tab/>
      </w:r>
    </w:p>
    <w:p w14:paraId="46D21680" w14:textId="77777777" w:rsidR="0058024B" w:rsidRPr="00B94AFA" w:rsidRDefault="005611B7" w:rsidP="00F00449">
      <w:pPr>
        <w:pStyle w:val="Nadpis30"/>
        <w:keepNext/>
        <w:keepLines/>
        <w:shd w:val="clear" w:color="auto" w:fill="auto"/>
        <w:spacing w:before="590" w:after="120" w:line="210" w:lineRule="exact"/>
        <w:ind w:left="20"/>
        <w:rPr>
          <w:rFonts w:ascii="Times New Roman" w:hAnsi="Times New Roman" w:cs="Times New Roman"/>
          <w:sz w:val="22"/>
          <w:szCs w:val="22"/>
        </w:rPr>
      </w:pPr>
      <w:bookmarkStart w:id="3" w:name="bookmark3"/>
      <w:r w:rsidRPr="00B94AFA">
        <w:rPr>
          <w:rFonts w:ascii="Times New Roman" w:hAnsi="Times New Roman" w:cs="Times New Roman"/>
          <w:sz w:val="22"/>
          <w:szCs w:val="22"/>
        </w:rPr>
        <w:t>Povinnost náhrady vozidla</w:t>
      </w:r>
      <w:bookmarkEnd w:id="3"/>
    </w:p>
    <w:p w14:paraId="04B60A3D" w14:textId="77777777" w:rsidR="0058024B" w:rsidRPr="00B94AFA" w:rsidRDefault="005611B7" w:rsidP="00F00449">
      <w:pPr>
        <w:pStyle w:val="Zkladntext1"/>
        <w:numPr>
          <w:ilvl w:val="0"/>
          <w:numId w:val="1"/>
        </w:numPr>
        <w:shd w:val="clear" w:color="auto" w:fill="auto"/>
        <w:tabs>
          <w:tab w:val="left" w:pos="207"/>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případě vzniku neopravitelného poškození některého z vozidel je Dopravce po celou dobu trvání smlouvy povinen toto vozidlo nahradit typově shodným či kvalitativně a technicky podobným vozidlem, a to ve lhůtě 30 měsíců od vzniku poškození. Tato povinnost platí i pro situaci, kdy konec dodací lhůty pro dodání vozidla bude po skončení trvání smlouvy. Objednatel za tímto účelem doporučuje Dopravci sjednání opce s výrobcem na případnou dodávku dalšího vozidla/vozidel.</w:t>
      </w:r>
    </w:p>
    <w:p w14:paraId="4B0B5D85" w14:textId="46E42215" w:rsidR="00CA6C46" w:rsidRPr="00F00449" w:rsidRDefault="00CA6C46" w:rsidP="009C66AE">
      <w:pPr>
        <w:pStyle w:val="Zkladntext1"/>
        <w:shd w:val="clear" w:color="auto" w:fill="auto"/>
        <w:tabs>
          <w:tab w:val="left" w:pos="207"/>
        </w:tabs>
        <w:spacing w:after="120" w:line="307" w:lineRule="exact"/>
        <w:ind w:left="20" w:right="20"/>
        <w:jc w:val="both"/>
        <w:rPr>
          <w:rFonts w:ascii="Times New Roman" w:hAnsi="Times New Roman" w:cs="Times New Roman"/>
          <w:sz w:val="22"/>
          <w:szCs w:val="22"/>
        </w:rPr>
      </w:pPr>
      <w:r>
        <w:rPr>
          <w:rFonts w:ascii="Times New Roman" w:hAnsi="Times New Roman" w:cs="Times New Roman"/>
          <w:sz w:val="22"/>
          <w:szCs w:val="22"/>
        </w:rPr>
        <w:t xml:space="preserve">V </w:t>
      </w:r>
      <w:r w:rsidR="005611B7" w:rsidRPr="00F00449">
        <w:rPr>
          <w:rFonts w:ascii="Times New Roman" w:hAnsi="Times New Roman" w:cs="Times New Roman"/>
          <w:sz w:val="22"/>
          <w:szCs w:val="22"/>
        </w:rPr>
        <w:t>případě náhrady kvalitativně a technicky podobným vozidlem musí být i nadále splněny dotační podmínky.</w:t>
      </w:r>
    </w:p>
    <w:p w14:paraId="30C1937E" w14:textId="440F5E9E" w:rsidR="0058024B" w:rsidRPr="00B94AFA" w:rsidRDefault="0058024B" w:rsidP="00CA6C46">
      <w:pPr>
        <w:pStyle w:val="Zkladntext1"/>
        <w:shd w:val="clear" w:color="auto" w:fill="auto"/>
        <w:spacing w:after="120" w:line="307" w:lineRule="exact"/>
        <w:ind w:left="20" w:right="20"/>
        <w:jc w:val="both"/>
        <w:rPr>
          <w:rFonts w:ascii="Times New Roman" w:hAnsi="Times New Roman" w:cs="Times New Roman"/>
          <w:sz w:val="22"/>
          <w:szCs w:val="22"/>
        </w:rPr>
      </w:pPr>
    </w:p>
    <w:p w14:paraId="0D4428E9" w14:textId="29A7FA5F" w:rsidR="0058024B" w:rsidRPr="00B94AFA" w:rsidRDefault="005611B7" w:rsidP="00F00449">
      <w:pPr>
        <w:pStyle w:val="Nadpis20"/>
        <w:keepNext/>
        <w:keepLines/>
        <w:shd w:val="clear" w:color="auto" w:fill="auto"/>
        <w:spacing w:before="0" w:after="120" w:line="260" w:lineRule="exact"/>
        <w:ind w:left="20"/>
        <w:rPr>
          <w:rFonts w:ascii="Times New Roman" w:hAnsi="Times New Roman" w:cs="Times New Roman"/>
          <w:sz w:val="22"/>
          <w:szCs w:val="22"/>
        </w:rPr>
      </w:pPr>
      <w:bookmarkStart w:id="4" w:name="bookmark6"/>
      <w:r w:rsidRPr="00B94AFA">
        <w:rPr>
          <w:rStyle w:val="Nadpis22"/>
          <w:rFonts w:ascii="Times New Roman" w:hAnsi="Times New Roman" w:cs="Times New Roman"/>
          <w:sz w:val="22"/>
          <w:szCs w:val="22"/>
        </w:rPr>
        <w:t>Technické požadavky</w:t>
      </w:r>
      <w:bookmarkEnd w:id="4"/>
      <w:r w:rsidR="00CA6C46">
        <w:rPr>
          <w:rStyle w:val="Nadpis22"/>
          <w:rFonts w:ascii="Times New Roman" w:hAnsi="Times New Roman" w:cs="Times New Roman"/>
          <w:sz w:val="22"/>
          <w:szCs w:val="22"/>
        </w:rPr>
        <w:t xml:space="preserve"> na vozidla </w:t>
      </w:r>
    </w:p>
    <w:p w14:paraId="0AE227D9" w14:textId="77777777" w:rsidR="0058024B" w:rsidRPr="00B94AFA" w:rsidRDefault="005611B7" w:rsidP="00F00449">
      <w:pPr>
        <w:pStyle w:val="Zkladntext1"/>
        <w:shd w:val="clear" w:color="auto" w:fill="auto"/>
        <w:spacing w:after="120" w:line="210" w:lineRule="exact"/>
        <w:ind w:left="20"/>
        <w:jc w:val="both"/>
        <w:rPr>
          <w:rFonts w:ascii="Times New Roman" w:hAnsi="Times New Roman" w:cs="Times New Roman"/>
          <w:sz w:val="22"/>
          <w:szCs w:val="22"/>
        </w:rPr>
      </w:pPr>
      <w:r w:rsidRPr="00B94AFA">
        <w:rPr>
          <w:rFonts w:ascii="Times New Roman" w:hAnsi="Times New Roman" w:cs="Times New Roman"/>
          <w:sz w:val="22"/>
          <w:szCs w:val="22"/>
        </w:rPr>
        <w:t>Vozidla určená k plnění zakázky musí splňovat následující minimální požadavky:</w:t>
      </w:r>
    </w:p>
    <w:p w14:paraId="211F61F6" w14:textId="77777777" w:rsidR="0058024B" w:rsidRPr="005611B7" w:rsidRDefault="005611B7" w:rsidP="00F00449">
      <w:pPr>
        <w:pStyle w:val="Zkladntext1"/>
        <w:numPr>
          <w:ilvl w:val="1"/>
          <w:numId w:val="1"/>
        </w:numPr>
        <w:shd w:val="clear" w:color="auto" w:fill="auto"/>
        <w:tabs>
          <w:tab w:val="left" w:pos="236"/>
        </w:tabs>
        <w:spacing w:after="120" w:line="210" w:lineRule="exact"/>
        <w:ind w:left="20"/>
        <w:jc w:val="both"/>
        <w:rPr>
          <w:rFonts w:ascii="Times New Roman" w:hAnsi="Times New Roman" w:cs="Times New Roman"/>
          <w:b/>
          <w:bCs/>
          <w:sz w:val="22"/>
          <w:szCs w:val="22"/>
          <w:highlight w:val="red"/>
        </w:rPr>
      </w:pPr>
      <w:r w:rsidRPr="005611B7">
        <w:rPr>
          <w:rFonts w:ascii="Times New Roman" w:hAnsi="Times New Roman" w:cs="Times New Roman"/>
          <w:b/>
          <w:bCs/>
          <w:sz w:val="22"/>
          <w:szCs w:val="22"/>
          <w:highlight w:val="red"/>
        </w:rPr>
        <w:t>Vozidla musí být ke dni zahájení provozu schválena pro provoz na předmětných úsecích drah.</w:t>
      </w:r>
    </w:p>
    <w:p w14:paraId="4BFDE1B3" w14:textId="77777777" w:rsidR="0058024B" w:rsidRPr="00B94AFA" w:rsidRDefault="005611B7" w:rsidP="00F00449">
      <w:pPr>
        <w:pStyle w:val="Zkladntext1"/>
        <w:numPr>
          <w:ilvl w:val="1"/>
          <w:numId w:val="1"/>
        </w:numPr>
        <w:shd w:val="clear" w:color="auto" w:fill="auto"/>
        <w:tabs>
          <w:tab w:val="left" w:pos="284"/>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Maximální rychlost vozidla musí činit alespoň 120 km/h. V případě, že budou vozidla umožňovat v elektrickém režimu rychlost vyšší než 120 km/h, je Objednatel oprávněn požadovat po Dopravci využití této vyšší rychlosti jak při sestavě GVD, tak v reálném provozu.</w:t>
      </w:r>
    </w:p>
    <w:p w14:paraId="65C866DE" w14:textId="77777777" w:rsidR="0058024B" w:rsidRPr="00B94AFA" w:rsidRDefault="005611B7" w:rsidP="00F00449">
      <w:pPr>
        <w:pStyle w:val="Zkladntext1"/>
        <w:numPr>
          <w:ilvl w:val="1"/>
          <w:numId w:val="1"/>
        </w:numPr>
        <w:shd w:val="clear" w:color="auto" w:fill="auto"/>
        <w:tabs>
          <w:tab w:val="left" w:pos="255"/>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Každý vlak zajišťující provoz dle Smlouvy musí být schopen úvratě (změny směru jízdy včetně změny čísla vlaku) v době nejvýše 5 minut pobytu ve stanici. Tato povinnost se vztahuje na tratě vybavené zabezpečovacím zařízením ETCS i na tratě D3 s ohlašovací povinností v místě obratu.</w:t>
      </w:r>
    </w:p>
    <w:p w14:paraId="541F407E" w14:textId="77777777" w:rsidR="0058024B" w:rsidRPr="00B94AFA" w:rsidRDefault="005611B7" w:rsidP="00F00449">
      <w:pPr>
        <w:pStyle w:val="Zkladntext1"/>
        <w:numPr>
          <w:ilvl w:val="1"/>
          <w:numId w:val="1"/>
        </w:numPr>
        <w:shd w:val="clear" w:color="auto" w:fill="auto"/>
        <w:tabs>
          <w:tab w:val="left" w:pos="270"/>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Vozidla musí být vybavena veškerými zařízeními nezbytnými pro provoz na předmětných úsecích drah po celou dobu trvání smlouvy (zejména ETCS). Dopravce nemá nárok na dodatečnou úhradu od Objednatele za žádné vynucené úpravy vozidel, o jejichž potřebě Dopravce při uzavření této Smlouvy věděl, nebo z dostupných informací prokazatelně mohl vědět.</w:t>
      </w:r>
    </w:p>
    <w:p w14:paraId="4DFA068D" w14:textId="2F650116" w:rsidR="0058024B" w:rsidRPr="00B94AFA" w:rsidRDefault="005611B7" w:rsidP="00F00449">
      <w:pPr>
        <w:pStyle w:val="Zkladntext1"/>
        <w:numPr>
          <w:ilvl w:val="1"/>
          <w:numId w:val="1"/>
        </w:numPr>
        <w:shd w:val="clear" w:color="auto" w:fill="auto"/>
        <w:tabs>
          <w:tab w:val="left" w:pos="303"/>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 xml:space="preserve">Technické parametry vozidel musí v maximální míře umožnit využití technických parametrů infrastruktury, zejména dosažení maximální traťové rychlosti ve sklonově náročných úsecích a </w:t>
      </w:r>
      <w:proofErr w:type="spellStart"/>
      <w:r w:rsidRPr="00B94AFA">
        <w:rPr>
          <w:rFonts w:ascii="Times New Roman" w:hAnsi="Times New Roman" w:cs="Times New Roman"/>
          <w:sz w:val="22"/>
          <w:szCs w:val="22"/>
        </w:rPr>
        <w:t>disponova</w:t>
      </w:r>
      <w:proofErr w:type="spellEnd"/>
      <w:r w:rsidR="00441BE7">
        <w:rPr>
          <w:rFonts w:ascii="Times New Roman" w:hAnsi="Times New Roman" w:cs="Times New Roman"/>
          <w:sz w:val="22"/>
          <w:szCs w:val="22"/>
        </w:rPr>
        <w:t xml:space="preserve"> </w:t>
      </w:r>
      <w:r w:rsidRPr="00B94AFA">
        <w:rPr>
          <w:rFonts w:ascii="Times New Roman" w:hAnsi="Times New Roman" w:cs="Times New Roman"/>
          <w:sz w:val="22"/>
          <w:szCs w:val="22"/>
        </w:rPr>
        <w:t xml:space="preserve">t dostatečnými dynamickými vlastnostmi pro rychlé dosažení maximální traťové rychlosti </w:t>
      </w:r>
      <w:r w:rsidRPr="00B94AFA">
        <w:rPr>
          <w:rFonts w:ascii="Times New Roman" w:hAnsi="Times New Roman" w:cs="Times New Roman"/>
          <w:sz w:val="22"/>
          <w:szCs w:val="22"/>
        </w:rPr>
        <w:lastRenderedPageBreak/>
        <w:t>(při zohlednění požadavků dle bodu 2). Měrný výkon vozidla v bateriovém režimu musí být alespoň 10 kW/t. Vozidla musí být schopna využívat nedostatek převýšení 130 mm nebo vyšší.</w:t>
      </w:r>
    </w:p>
    <w:p w14:paraId="0BDA34D4" w14:textId="77777777" w:rsidR="0058024B" w:rsidRPr="00B94AFA" w:rsidRDefault="005611B7" w:rsidP="00F00449">
      <w:pPr>
        <w:pStyle w:val="Zkladntext1"/>
        <w:numPr>
          <w:ilvl w:val="1"/>
          <w:numId w:val="1"/>
        </w:numPr>
        <w:shd w:val="clear" w:color="auto" w:fill="auto"/>
        <w:tabs>
          <w:tab w:val="left" w:pos="265"/>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Dojezd vozidla v bateriovém režimu musí být alespoň 80 km na konci životnosti baterie. Objednatel upozorňuje, že po plánované elektrizaci zbytku tratě 024 mohou být předmětné jednotky (po roce 2034) přesunuty na jiné výkony v Pardubickém kraji. Z toho důvodu nepostačuje dojezd pouze na překonání relativně krátkých neelektrizovaných úseků tratě č. 024. Provozní model, na který musí být vozidla dimenzována, poskytne Objednatel.</w:t>
      </w:r>
    </w:p>
    <w:p w14:paraId="4D29682E" w14:textId="77777777" w:rsidR="0058024B" w:rsidRPr="00B94AFA" w:rsidRDefault="005611B7" w:rsidP="00F00449">
      <w:pPr>
        <w:pStyle w:val="Zkladntext1"/>
        <w:numPr>
          <w:ilvl w:val="1"/>
          <w:numId w:val="1"/>
        </w:numPr>
        <w:shd w:val="clear" w:color="auto" w:fill="auto"/>
        <w:tabs>
          <w:tab w:val="left" w:pos="260"/>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Vozidla musí být jednotného vnějšího vzhledu; barevné a grafické provedení vnějšího lakování (či polepů) bude určeno Objednatelem.</w:t>
      </w:r>
    </w:p>
    <w:p w14:paraId="488E8B45" w14:textId="77777777" w:rsidR="0058024B" w:rsidRPr="00B94AFA" w:rsidRDefault="005611B7" w:rsidP="00F00449">
      <w:pPr>
        <w:pStyle w:val="Zkladntext1"/>
        <w:numPr>
          <w:ilvl w:val="1"/>
          <w:numId w:val="1"/>
        </w:numPr>
        <w:shd w:val="clear" w:color="auto" w:fill="auto"/>
        <w:tabs>
          <w:tab w:val="left" w:pos="250"/>
        </w:tabs>
        <w:spacing w:after="120" w:line="312"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 xml:space="preserve">Všechna vozidla musí být bezbariérově přístupná. Za bezbariérové se považuje vozidlo, které má ve všech nástupních prostorech podlahu ve výšce </w:t>
      </w:r>
      <w:proofErr w:type="gramStart"/>
      <w:r w:rsidRPr="00B94AFA">
        <w:rPr>
          <w:rFonts w:ascii="Times New Roman" w:hAnsi="Times New Roman" w:cs="Times New Roman"/>
          <w:sz w:val="22"/>
          <w:szCs w:val="22"/>
        </w:rPr>
        <w:t>550 - 600</w:t>
      </w:r>
      <w:proofErr w:type="gramEnd"/>
      <w:r w:rsidRPr="00B94AFA">
        <w:rPr>
          <w:rFonts w:ascii="Times New Roman" w:hAnsi="Times New Roman" w:cs="Times New Roman"/>
          <w:sz w:val="22"/>
          <w:szCs w:val="22"/>
        </w:rPr>
        <w:t xml:space="preserve"> mm nad temenem kolejnice. Vozidlo musí být vybaveno zařízením umožňujícím nástup imobilních osob na invalidním vozíku z nástupišť nižších než </w:t>
      </w:r>
      <w:proofErr w:type="gramStart"/>
      <w:r w:rsidRPr="00B94AFA">
        <w:rPr>
          <w:rFonts w:ascii="Times New Roman" w:hAnsi="Times New Roman" w:cs="Times New Roman"/>
          <w:sz w:val="22"/>
          <w:szCs w:val="22"/>
        </w:rPr>
        <w:t>550 - 600</w:t>
      </w:r>
      <w:proofErr w:type="gramEnd"/>
      <w:r w:rsidRPr="00B94AFA">
        <w:rPr>
          <w:rFonts w:ascii="Times New Roman" w:hAnsi="Times New Roman" w:cs="Times New Roman"/>
          <w:sz w:val="22"/>
          <w:szCs w:val="22"/>
        </w:rPr>
        <w:t xml:space="preserve"> mm a pro překonání vodorovné mezery u nástupišť výšky 550 mm.</w:t>
      </w:r>
    </w:p>
    <w:p w14:paraId="1F81B8C0" w14:textId="77777777" w:rsidR="0058024B" w:rsidRPr="00B94AFA" w:rsidRDefault="005611B7" w:rsidP="00F00449">
      <w:pPr>
        <w:pStyle w:val="Zkladntext1"/>
        <w:numPr>
          <w:ilvl w:val="1"/>
          <w:numId w:val="1"/>
        </w:numPr>
        <w:shd w:val="clear" w:color="auto" w:fill="auto"/>
        <w:tabs>
          <w:tab w:val="left" w:pos="246"/>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 xml:space="preserve">Všechny nástupní dveře pro cestující musí být centrálně </w:t>
      </w:r>
      <w:proofErr w:type="spellStart"/>
      <w:r w:rsidRPr="00B94AFA">
        <w:rPr>
          <w:rFonts w:ascii="Times New Roman" w:hAnsi="Times New Roman" w:cs="Times New Roman"/>
          <w:sz w:val="22"/>
          <w:szCs w:val="22"/>
        </w:rPr>
        <w:t>zavíratelné</w:t>
      </w:r>
      <w:proofErr w:type="spellEnd"/>
      <w:r w:rsidRPr="00B94AFA">
        <w:rPr>
          <w:rFonts w:ascii="Times New Roman" w:hAnsi="Times New Roman" w:cs="Times New Roman"/>
          <w:sz w:val="22"/>
          <w:szCs w:val="22"/>
        </w:rPr>
        <w:t>, musí mít krátké doby otevírání a zavírání pro minimalizaci pobytů vlaku ve stanicích a zastávkách; za jízdy musí být dveře blokovány. U každých dveří musí být zároveň zařízení umožňující pohodlný nástup z nástupišť nižších než 550 mm (může se jednat o výsuvný schůdek či jiné zařízení). Na každé straně vozidla musí být minimálně dvoje nástupní dveře o světlé šířce minimálně 1200 mm.</w:t>
      </w:r>
    </w:p>
    <w:p w14:paraId="4E9959B1" w14:textId="77777777" w:rsidR="0058024B" w:rsidRPr="00B94AFA" w:rsidRDefault="005611B7" w:rsidP="00F00449">
      <w:pPr>
        <w:pStyle w:val="Zkladntext1"/>
        <w:numPr>
          <w:ilvl w:val="1"/>
          <w:numId w:val="1"/>
        </w:numPr>
        <w:shd w:val="clear" w:color="auto" w:fill="auto"/>
        <w:tabs>
          <w:tab w:val="left" w:pos="346"/>
        </w:tabs>
        <w:spacing w:after="120" w:line="210" w:lineRule="exact"/>
        <w:ind w:left="20"/>
        <w:jc w:val="both"/>
        <w:rPr>
          <w:rFonts w:ascii="Times New Roman" w:hAnsi="Times New Roman" w:cs="Times New Roman"/>
          <w:sz w:val="22"/>
          <w:szCs w:val="22"/>
        </w:rPr>
      </w:pPr>
      <w:r w:rsidRPr="00B94AFA">
        <w:rPr>
          <w:rFonts w:ascii="Times New Roman" w:hAnsi="Times New Roman" w:cs="Times New Roman"/>
          <w:sz w:val="22"/>
          <w:szCs w:val="22"/>
        </w:rPr>
        <w:t>Vozidla musí být schopna vícečlenné trakce, a to minimálně v počtu dvou vozidel.</w:t>
      </w:r>
    </w:p>
    <w:p w14:paraId="6C12C120" w14:textId="77777777" w:rsidR="0058024B" w:rsidRPr="00B94AFA" w:rsidRDefault="005611B7" w:rsidP="00F00449">
      <w:pPr>
        <w:pStyle w:val="Zkladntext1"/>
        <w:numPr>
          <w:ilvl w:val="1"/>
          <w:numId w:val="1"/>
        </w:numPr>
        <w:shd w:val="clear" w:color="auto" w:fill="auto"/>
        <w:tabs>
          <w:tab w:val="left" w:pos="346"/>
        </w:tabs>
        <w:spacing w:after="120" w:line="210" w:lineRule="exact"/>
        <w:ind w:left="20"/>
        <w:jc w:val="both"/>
        <w:rPr>
          <w:rFonts w:ascii="Times New Roman" w:hAnsi="Times New Roman" w:cs="Times New Roman"/>
          <w:sz w:val="22"/>
          <w:szCs w:val="22"/>
        </w:rPr>
      </w:pPr>
      <w:r w:rsidRPr="00B94AFA">
        <w:rPr>
          <w:rFonts w:ascii="Times New Roman" w:hAnsi="Times New Roman" w:cs="Times New Roman"/>
          <w:sz w:val="22"/>
          <w:szCs w:val="22"/>
        </w:rPr>
        <w:t>Vozidla musí být schválena na traťovou třídu zatížení C2 nebo nižší.</w:t>
      </w:r>
    </w:p>
    <w:p w14:paraId="1B526782" w14:textId="77777777" w:rsidR="00477602" w:rsidRDefault="00477602" w:rsidP="00F00449">
      <w:pPr>
        <w:pStyle w:val="Nadpis20"/>
        <w:keepNext/>
        <w:keepLines/>
        <w:shd w:val="clear" w:color="auto" w:fill="auto"/>
        <w:spacing w:before="0" w:after="120" w:line="260" w:lineRule="exact"/>
        <w:ind w:left="20"/>
        <w:rPr>
          <w:rStyle w:val="Nadpis23"/>
          <w:rFonts w:ascii="Times New Roman" w:hAnsi="Times New Roman" w:cs="Times New Roman"/>
          <w:sz w:val="22"/>
          <w:szCs w:val="22"/>
        </w:rPr>
      </w:pPr>
      <w:bookmarkStart w:id="5" w:name="bookmark7"/>
    </w:p>
    <w:p w14:paraId="2687E30F" w14:textId="3C70F4D2" w:rsidR="0058024B" w:rsidRPr="00B94AFA" w:rsidRDefault="005611B7" w:rsidP="00F00449">
      <w:pPr>
        <w:pStyle w:val="Nadpis20"/>
        <w:keepNext/>
        <w:keepLines/>
        <w:shd w:val="clear" w:color="auto" w:fill="auto"/>
        <w:spacing w:before="0" w:after="120" w:line="260" w:lineRule="exact"/>
        <w:ind w:left="20"/>
        <w:rPr>
          <w:rFonts w:ascii="Times New Roman" w:hAnsi="Times New Roman" w:cs="Times New Roman"/>
          <w:sz w:val="22"/>
          <w:szCs w:val="22"/>
        </w:rPr>
      </w:pPr>
      <w:r w:rsidRPr="00B94AFA">
        <w:rPr>
          <w:rStyle w:val="Nadpis23"/>
          <w:rFonts w:ascii="Times New Roman" w:hAnsi="Times New Roman" w:cs="Times New Roman"/>
          <w:sz w:val="22"/>
          <w:szCs w:val="22"/>
        </w:rPr>
        <w:t>Vybavení vozidel</w:t>
      </w:r>
      <w:bookmarkEnd w:id="5"/>
    </w:p>
    <w:p w14:paraId="461E88CC" w14:textId="77777777" w:rsidR="0058024B" w:rsidRPr="00B94AFA" w:rsidRDefault="005611B7" w:rsidP="00F00449">
      <w:pPr>
        <w:pStyle w:val="Zkladntext1"/>
        <w:numPr>
          <w:ilvl w:val="2"/>
          <w:numId w:val="1"/>
        </w:numPr>
        <w:shd w:val="clear" w:color="auto" w:fill="auto"/>
        <w:tabs>
          <w:tab w:val="left" w:pos="265"/>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Pro přepravu imobilních osob na invalidním vozíku musí být v každém vozidle zajištěn alespoň počet míst odpovídající požadavkům článku 4.2.2.3 přílohy rozhodnutí Komise (ES) č. 164/2008 o technické specifikaci pro interoperabilitu, týkající se přepravy osob s omezenou schopností pohybu a orientace (dále jen „TSI PRM") v transevropském konvenčním a vysokorychlostním železničním systému; TSI PRM též stanoví vymezení těchto osob.</w:t>
      </w:r>
    </w:p>
    <w:p w14:paraId="1C72C57D" w14:textId="77777777" w:rsidR="0058024B" w:rsidRPr="00B94AFA" w:rsidRDefault="005611B7" w:rsidP="00F00449">
      <w:pPr>
        <w:pStyle w:val="Zkladntext1"/>
        <w:numPr>
          <w:ilvl w:val="2"/>
          <w:numId w:val="1"/>
        </w:numPr>
        <w:shd w:val="clear" w:color="auto" w:fill="auto"/>
        <w:tabs>
          <w:tab w:val="left" w:pos="303"/>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Objednatel požaduje jednotky, které disponují jedním oddílem 1. třídy. Objednatel preferuje oddělení 1. třídy od ostatních prostor příčkou a dveřmi v interiéru. Kapacita oddílu 1. třídy by měla odpovídat 5-10 % počtu míst k sezení.</w:t>
      </w:r>
    </w:p>
    <w:p w14:paraId="7A0F1BE8" w14:textId="77777777" w:rsidR="0058024B" w:rsidRPr="00B94AFA" w:rsidRDefault="005611B7" w:rsidP="00F00449">
      <w:pPr>
        <w:pStyle w:val="Zkladntext1"/>
        <w:numPr>
          <w:ilvl w:val="2"/>
          <w:numId w:val="1"/>
        </w:numPr>
        <w:shd w:val="clear" w:color="auto" w:fill="auto"/>
        <w:tabs>
          <w:tab w:val="left" w:pos="236"/>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 každém vozidle musí být možné přepravovat alespoň 2 dětské kočárky. Místa vyhrazená pro dětské kočárky musí být situována v nízkopodlažní části vozidla.</w:t>
      </w:r>
    </w:p>
    <w:p w14:paraId="30AE88C5" w14:textId="77777777" w:rsidR="0058024B" w:rsidRPr="00B94AFA" w:rsidRDefault="005611B7" w:rsidP="00F00449">
      <w:pPr>
        <w:pStyle w:val="Zkladntext1"/>
        <w:numPr>
          <w:ilvl w:val="2"/>
          <w:numId w:val="1"/>
        </w:numPr>
        <w:shd w:val="clear" w:color="auto" w:fill="auto"/>
        <w:tabs>
          <w:tab w:val="left" w:pos="303"/>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 každém vozidle musí být možné přepravovat jízdní kola (variantně v zimním období lyže či snowboardy). Jako taková místa mohou být využitelná sklopná sedadla, přičemž objednatel akceptuje snížení kapacity vozidla např. při zavěšení jízdního kola na hák nad sklopným sedadlem nebo opřením jízdního kola o řadu sklopných sedadel. Ve vozidlech musí být možné přepravovat minimálně 12 jízdních kol. Pro umístění jízdních kol lze také využít prostor pro přepravu dětských kočárků, avšak nikoliv prostor pro přepravu imobilních cestujících.</w:t>
      </w:r>
    </w:p>
    <w:p w14:paraId="32C1C037" w14:textId="77777777" w:rsidR="0058024B" w:rsidRPr="00B94AFA" w:rsidRDefault="005611B7" w:rsidP="00F00449">
      <w:pPr>
        <w:pStyle w:val="Zkladntext1"/>
        <w:numPr>
          <w:ilvl w:val="2"/>
          <w:numId w:val="1"/>
        </w:numPr>
        <w:shd w:val="clear" w:color="auto" w:fill="auto"/>
        <w:tabs>
          <w:tab w:val="left" w:pos="270"/>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lastRenderedPageBreak/>
        <w:t>V prostorách pro cestující musí být klimatizačním (ventilačním) a vytápěcím zařízením udržováno optimální mikroklima stanovené normou ČSN EN 14 750-1, kat. A, zóna II. V kabině strojvedoucího musí být zajištěny optimální podmínky v celém rozsahu vnějších teplot v souladu s ČSN EN 14 813-1, kat. A, zóna II. Funkce klimatizace musí být ověřena typovou zkouškou dle ČSN EN 14750-2 v certifikované klimatické komoře.</w:t>
      </w:r>
    </w:p>
    <w:p w14:paraId="4DF7BEDE" w14:textId="77777777" w:rsidR="0058024B" w:rsidRPr="00B94AFA" w:rsidRDefault="005611B7" w:rsidP="00F00449">
      <w:pPr>
        <w:pStyle w:val="Zkladntext1"/>
        <w:numPr>
          <w:ilvl w:val="2"/>
          <w:numId w:val="1"/>
        </w:numPr>
        <w:shd w:val="clear" w:color="auto" w:fill="auto"/>
        <w:tabs>
          <w:tab w:val="left" w:pos="265"/>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Na šířku vozové skříně mohou být umístěna nejvýše 4 místa k sezení (resp. 3 místa k sezení v oddílu 1. třídy). Sedadla musí být polstrovaná a s celoplošnou opěrkou zad a hlavy (s výjimkou sklopných sedadel). Pevná sedadla v uspořádání „za sebou" musí být vybavena sklopným stolkem. Sedadla v uspořádání „proti sobě" musí být vybavena společným podokenním stolkem. Minimální rozteče sedadel uspořádaných "za sebou" musí činit 800 mm, minimální rozteče sedadel uspořádaných "proti sobě" musí činit 1700 mm.</w:t>
      </w:r>
    </w:p>
    <w:p w14:paraId="34623007" w14:textId="77777777" w:rsidR="0058024B" w:rsidRPr="00B94AFA" w:rsidRDefault="005611B7" w:rsidP="00F00449">
      <w:pPr>
        <w:pStyle w:val="Zkladntext1"/>
        <w:numPr>
          <w:ilvl w:val="2"/>
          <w:numId w:val="1"/>
        </w:numPr>
        <w:shd w:val="clear" w:color="auto" w:fill="auto"/>
        <w:tabs>
          <w:tab w:val="left" w:pos="255"/>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Nad místy k sezení musí být umístěn odkládací prostor (police) na zavazadla. Odkládací prostor musí mít průhledné dno (přípustné je kovové, plastové, prosklené).</w:t>
      </w:r>
    </w:p>
    <w:p w14:paraId="35D94D2B" w14:textId="77777777" w:rsidR="0058024B" w:rsidRPr="00B94AFA" w:rsidRDefault="005611B7" w:rsidP="00F00449">
      <w:pPr>
        <w:pStyle w:val="Zkladntext1"/>
        <w:numPr>
          <w:ilvl w:val="2"/>
          <w:numId w:val="1"/>
        </w:numPr>
        <w:shd w:val="clear" w:color="auto" w:fill="auto"/>
        <w:tabs>
          <w:tab w:val="left" w:pos="250"/>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 každé vozové jednotce musí být k dispozici jedno bezbariérově přístupné WC, které je využitelné pro osoby s omezenou schopností pohybu a orientace. Ve vozidlech jsou přípustná pouze vakuová WC.</w:t>
      </w:r>
    </w:p>
    <w:p w14:paraId="6C722F2E" w14:textId="77777777" w:rsidR="0058024B" w:rsidRPr="00B94AFA" w:rsidRDefault="005611B7" w:rsidP="00F00449">
      <w:pPr>
        <w:pStyle w:val="Zkladntext1"/>
        <w:numPr>
          <w:ilvl w:val="2"/>
          <w:numId w:val="1"/>
        </w:numPr>
        <w:shd w:val="clear" w:color="auto" w:fill="auto"/>
        <w:tabs>
          <w:tab w:val="left" w:pos="246"/>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Vozidlo musí být vybaveno zásuvkami na drobnou elektroniku (230 V a USB-C) v počtu minimálně 1 zásuvka na každá 4 místa k sezení ve vstřícném uspořádání sedadel a dále v počtu 1 zásuvka na každá 2 místa k sezení v uspořádání za sebou (kromě sklopných sedadel).</w:t>
      </w:r>
    </w:p>
    <w:p w14:paraId="7388D944" w14:textId="77777777" w:rsidR="0058024B" w:rsidRPr="00B94AFA" w:rsidRDefault="005611B7" w:rsidP="00F00449">
      <w:pPr>
        <w:pStyle w:val="Zkladntext1"/>
        <w:numPr>
          <w:ilvl w:val="2"/>
          <w:numId w:val="1"/>
        </w:numPr>
        <w:shd w:val="clear" w:color="auto" w:fill="auto"/>
        <w:tabs>
          <w:tab w:val="left" w:pos="346"/>
        </w:tabs>
        <w:spacing w:after="120" w:line="210" w:lineRule="exact"/>
        <w:ind w:left="20"/>
        <w:jc w:val="both"/>
        <w:rPr>
          <w:rFonts w:ascii="Times New Roman" w:hAnsi="Times New Roman" w:cs="Times New Roman"/>
          <w:sz w:val="22"/>
          <w:szCs w:val="22"/>
        </w:rPr>
      </w:pPr>
      <w:r w:rsidRPr="00B94AFA">
        <w:rPr>
          <w:rFonts w:ascii="Times New Roman" w:hAnsi="Times New Roman" w:cs="Times New Roman"/>
          <w:sz w:val="22"/>
          <w:szCs w:val="22"/>
        </w:rPr>
        <w:t>Vozidlo musí být vybaveno Wi-Fi připojením k internetu.</w:t>
      </w:r>
    </w:p>
    <w:p w14:paraId="6403F2B9" w14:textId="77777777" w:rsidR="0058024B" w:rsidRPr="00B94AFA" w:rsidRDefault="005611B7" w:rsidP="00F00449">
      <w:pPr>
        <w:pStyle w:val="Zkladntext1"/>
        <w:numPr>
          <w:ilvl w:val="2"/>
          <w:numId w:val="1"/>
        </w:numPr>
        <w:shd w:val="clear" w:color="auto" w:fill="auto"/>
        <w:tabs>
          <w:tab w:val="left" w:pos="356"/>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Vozidlo musí být zvnějšku označeno na čele vlaku a na každé straně každého vozidla elektronickými směrovými tabulemi alespoň s názvem konečné stanice vlaku (popř. konečné stanice konkrétního vozidla, nejede-li dané vozidlo až do konečné stanice vlaku).</w:t>
      </w:r>
    </w:p>
    <w:p w14:paraId="06838824" w14:textId="77777777" w:rsidR="0058024B" w:rsidRPr="00B94AFA" w:rsidRDefault="005611B7" w:rsidP="00F00449">
      <w:pPr>
        <w:pStyle w:val="Zkladntext1"/>
        <w:numPr>
          <w:ilvl w:val="2"/>
          <w:numId w:val="1"/>
        </w:numPr>
        <w:shd w:val="clear" w:color="auto" w:fill="auto"/>
        <w:tabs>
          <w:tab w:val="left" w:pos="375"/>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Vozidlo musí být vybaveno vnitřním vizuálním informačním systémem, který bude sestávat mimo jiné z LCD panelů, které budou zobrazovat minimálně číslo spoje, cílovou stanici, následující stanici, důležité nácestné stanice, aktuální čas, aktuální zpoždění a aktuální tarifní zónu.</w:t>
      </w:r>
    </w:p>
    <w:p w14:paraId="7F0A73E3" w14:textId="77777777" w:rsidR="0058024B" w:rsidRPr="00B94AFA" w:rsidRDefault="005611B7" w:rsidP="00F00449">
      <w:pPr>
        <w:pStyle w:val="Zkladntext1"/>
        <w:numPr>
          <w:ilvl w:val="2"/>
          <w:numId w:val="1"/>
        </w:numPr>
        <w:shd w:val="clear" w:color="auto" w:fill="auto"/>
        <w:tabs>
          <w:tab w:val="left" w:pos="356"/>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Audio informační systém musí informovat o skutečnosti, že se vlak blíží k dané zastávce, po odjezdu ze zastávky informovat o následující zastávce vlaku, informovat o zastávce na znamení a nutnosti stisku tlačítka pro zastavení vlaku na takové zastávce. Zároveň audio informační systém musí umožňovat manuální hlasový vstup provozního personálu Dopravce.</w:t>
      </w:r>
    </w:p>
    <w:p w14:paraId="4F0CCF1D" w14:textId="77777777" w:rsidR="0058024B" w:rsidRPr="00B94AFA" w:rsidRDefault="005611B7" w:rsidP="00F00449">
      <w:pPr>
        <w:pStyle w:val="Zkladntext1"/>
        <w:numPr>
          <w:ilvl w:val="2"/>
          <w:numId w:val="1"/>
        </w:numPr>
        <w:shd w:val="clear" w:color="auto" w:fill="auto"/>
        <w:tabs>
          <w:tab w:val="left" w:pos="346"/>
        </w:tabs>
        <w:spacing w:after="120" w:line="210" w:lineRule="exact"/>
        <w:ind w:left="20"/>
        <w:jc w:val="both"/>
        <w:rPr>
          <w:rFonts w:ascii="Times New Roman" w:hAnsi="Times New Roman" w:cs="Times New Roman"/>
          <w:sz w:val="22"/>
          <w:szCs w:val="22"/>
        </w:rPr>
      </w:pPr>
      <w:r w:rsidRPr="00B94AFA">
        <w:rPr>
          <w:rFonts w:ascii="Times New Roman" w:hAnsi="Times New Roman" w:cs="Times New Roman"/>
          <w:sz w:val="22"/>
          <w:szCs w:val="22"/>
        </w:rPr>
        <w:t>Vozidla musí být vybavena automatickým sčítacím systémem cestujících.</w:t>
      </w:r>
    </w:p>
    <w:p w14:paraId="39726AEB" w14:textId="77777777" w:rsidR="0058024B" w:rsidRPr="00B94AFA" w:rsidRDefault="005611B7" w:rsidP="00F00449">
      <w:pPr>
        <w:pStyle w:val="Zkladntext1"/>
        <w:numPr>
          <w:ilvl w:val="2"/>
          <w:numId w:val="1"/>
        </w:numPr>
        <w:shd w:val="clear" w:color="auto" w:fill="auto"/>
        <w:tabs>
          <w:tab w:val="left" w:pos="370"/>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Vozidla musí být vybavena odpadkovými koši minimálně v nástupních prostorách. Umístění košů nebude omezovat prostory pro cestující. Ve vozidle budou umístěny také koše, které umožní separaci odpadu.</w:t>
      </w:r>
    </w:p>
    <w:p w14:paraId="757C9BF9" w14:textId="77777777" w:rsidR="0058024B" w:rsidRPr="00B94AFA" w:rsidRDefault="005611B7" w:rsidP="00F00449">
      <w:pPr>
        <w:pStyle w:val="Zkladntext1"/>
        <w:numPr>
          <w:ilvl w:val="2"/>
          <w:numId w:val="1"/>
        </w:numPr>
        <w:shd w:val="clear" w:color="auto" w:fill="auto"/>
        <w:tabs>
          <w:tab w:val="left" w:pos="356"/>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Vozidla musí být vybavena vnitřním i vnějším kamerovým systémem. Vnější kamerový systém musí zabírat alespoň trať před a za vozidlem. Vnitřní kamerový systém musí zabírat celý interiér vozidla určený pro přepravu cestujících (vyjma WC). Záznam v rozlišení Full HD (nebo vyšším) musí být ukládán ve vozidle minimálně po dobu 72 hodin a musí být po tuto dobu umožněno jeho stažení.</w:t>
      </w:r>
    </w:p>
    <w:p w14:paraId="4878A128" w14:textId="77777777" w:rsidR="0058024B" w:rsidRPr="00B94AFA" w:rsidRDefault="005611B7" w:rsidP="00F00449">
      <w:pPr>
        <w:pStyle w:val="Zkladntext1"/>
        <w:numPr>
          <w:ilvl w:val="2"/>
          <w:numId w:val="1"/>
        </w:numPr>
        <w:shd w:val="clear" w:color="auto" w:fill="auto"/>
        <w:tabs>
          <w:tab w:val="left" w:pos="375"/>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Vozidla musí být vybavena přípravou na dosazení jízdenkového automatu a validátorů. Příprava zahrnuje zejména instalovaný switch s dostatkem portů pro zajištění síťového připojení a vytažení síťových a napájecích kabelů do nástupních prostorů (2x do každého nástupního prostoru).</w:t>
      </w:r>
    </w:p>
    <w:p w14:paraId="56CB658E" w14:textId="77777777" w:rsidR="0058024B" w:rsidRPr="00B94AFA" w:rsidRDefault="005611B7" w:rsidP="00F00449">
      <w:pPr>
        <w:pStyle w:val="Zkladntext1"/>
        <w:numPr>
          <w:ilvl w:val="2"/>
          <w:numId w:val="1"/>
        </w:numPr>
        <w:shd w:val="clear" w:color="auto" w:fill="auto"/>
        <w:tabs>
          <w:tab w:val="left" w:pos="346"/>
        </w:tabs>
        <w:spacing w:after="120" w:line="210" w:lineRule="exact"/>
        <w:ind w:left="20"/>
        <w:jc w:val="both"/>
        <w:rPr>
          <w:rFonts w:ascii="Times New Roman" w:hAnsi="Times New Roman" w:cs="Times New Roman"/>
          <w:sz w:val="22"/>
          <w:szCs w:val="22"/>
        </w:rPr>
      </w:pPr>
      <w:r w:rsidRPr="00B94AFA">
        <w:rPr>
          <w:rFonts w:ascii="Times New Roman" w:hAnsi="Times New Roman" w:cs="Times New Roman"/>
          <w:sz w:val="22"/>
          <w:szCs w:val="22"/>
        </w:rPr>
        <w:lastRenderedPageBreak/>
        <w:t>Vozidla musí být vybavena lokalizačním zařízením (GNSS).</w:t>
      </w:r>
    </w:p>
    <w:p w14:paraId="5403D340" w14:textId="77777777" w:rsidR="0058024B" w:rsidRPr="00B94AFA" w:rsidRDefault="005611B7" w:rsidP="00F00449">
      <w:pPr>
        <w:pStyle w:val="Zkladntext1"/>
        <w:numPr>
          <w:ilvl w:val="2"/>
          <w:numId w:val="1"/>
        </w:numPr>
        <w:shd w:val="clear" w:color="auto" w:fill="auto"/>
        <w:tabs>
          <w:tab w:val="left" w:pos="394"/>
        </w:tabs>
        <w:spacing w:after="120" w:line="307" w:lineRule="exact"/>
        <w:ind w:left="20" w:right="20"/>
        <w:jc w:val="both"/>
        <w:rPr>
          <w:rFonts w:ascii="Times New Roman" w:hAnsi="Times New Roman" w:cs="Times New Roman"/>
          <w:sz w:val="22"/>
          <w:szCs w:val="22"/>
        </w:rPr>
      </w:pPr>
      <w:r w:rsidRPr="00B94AFA">
        <w:rPr>
          <w:rFonts w:ascii="Times New Roman" w:hAnsi="Times New Roman" w:cs="Times New Roman"/>
          <w:sz w:val="22"/>
          <w:szCs w:val="22"/>
        </w:rPr>
        <w:t>Vozidla musí umožnit režim zastávky na znamení a pro tento účel musí být vybavena tlačítky „zastávka na znamení". Tato tlačítka musí být vhodně umístěna v prostorách pro cestující i v nástupních prostorách. Funkci tlačítek „zastávka na znamení" musí zároveň plnit i tlačítka na otevírání dveří, která musí být zároveň vybavena funkcí předvolby.</w:t>
      </w:r>
    </w:p>
    <w:sectPr w:rsidR="0058024B" w:rsidRPr="00B94AFA">
      <w:headerReference w:type="default" r:id="rId7"/>
      <w:type w:val="continuous"/>
      <w:pgSz w:w="11905" w:h="16837"/>
      <w:pgMar w:top="1366" w:right="1410" w:bottom="1902" w:left="1405"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900492" w14:textId="77777777" w:rsidR="00575642" w:rsidRDefault="00575642">
      <w:r>
        <w:separator/>
      </w:r>
    </w:p>
  </w:endnote>
  <w:endnote w:type="continuationSeparator" w:id="0">
    <w:p w14:paraId="201C3A2F" w14:textId="77777777" w:rsidR="00575642" w:rsidRDefault="005756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8B3A31" w14:textId="77777777" w:rsidR="00575642" w:rsidRDefault="00575642"/>
  </w:footnote>
  <w:footnote w:type="continuationSeparator" w:id="0">
    <w:p w14:paraId="1ACEEF1E" w14:textId="77777777" w:rsidR="00575642" w:rsidRDefault="00575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D99F9B" w14:textId="77777777" w:rsidR="008E2243" w:rsidRDefault="008E2243" w:rsidP="008E2243">
    <w:pPr>
      <w:pStyle w:val="Zhlav"/>
      <w:jc w:val="center"/>
      <w:rPr>
        <w:rFonts w:ascii="Times New Roman" w:hAnsi="Times New Roman" w:cs="Times New Roman"/>
        <w:sz w:val="22"/>
        <w:szCs w:val="22"/>
      </w:rPr>
    </w:pPr>
  </w:p>
  <w:p w14:paraId="5771D5C3" w14:textId="41A5D83A" w:rsidR="008E2243" w:rsidRPr="005611B7" w:rsidRDefault="00CE0916" w:rsidP="00CE0916">
    <w:pPr>
      <w:pStyle w:val="Zhlav"/>
      <w:jc w:val="center"/>
      <w:rPr>
        <w:rFonts w:ascii="Times New Roman" w:hAnsi="Times New Roman" w:cs="Times New Roman"/>
        <w:sz w:val="22"/>
        <w:szCs w:val="22"/>
        <w:u w:val="single"/>
      </w:rPr>
    </w:pPr>
    <w:r w:rsidRPr="00CE0916">
      <w:rPr>
        <w:rFonts w:ascii="Times New Roman" w:hAnsi="Times New Roman" w:cs="Times New Roman"/>
        <w:sz w:val="22"/>
        <w:szCs w:val="22"/>
        <w:u w:val="single"/>
      </w:rPr>
      <w:t>Dodání železničních jednotek pro účely plnění závazku Pardubického kraje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B225A"/>
    <w:multiLevelType w:val="multilevel"/>
    <w:tmpl w:val="2FB0CB0E"/>
    <w:lvl w:ilvl="0">
      <w:start w:val="1"/>
      <w:numFmt w:val="bullet"/>
      <w:lvlText w:val="V"/>
      <w:lvlJc w:val="left"/>
      <w:rPr>
        <w:rFonts w:ascii="Calibri" w:eastAsia="Calibri" w:hAnsi="Calibri" w:cs="Calibri"/>
        <w:b w:val="0"/>
        <w:bCs w:val="0"/>
        <w:i w:val="0"/>
        <w:iCs w:val="0"/>
        <w:smallCaps w:val="0"/>
        <w:strike w:val="0"/>
        <w:color w:val="000000"/>
        <w:spacing w:val="0"/>
        <w:w w:val="100"/>
        <w:position w:val="0"/>
        <w:sz w:val="21"/>
        <w:szCs w:val="21"/>
        <w:u w:val="none"/>
        <w:lang w:val="cs"/>
      </w:rPr>
    </w:lvl>
    <w:lvl w:ilvl="1">
      <w:start w:val="1"/>
      <w:numFmt w:val="decimal"/>
      <w:lvlText w:val="%2)"/>
      <w:lvlJc w:val="left"/>
      <w:rPr>
        <w:rFonts w:ascii="Calibri" w:eastAsia="Calibri" w:hAnsi="Calibri" w:cs="Calibri"/>
        <w:b w:val="0"/>
        <w:bCs w:val="0"/>
        <w:i w:val="0"/>
        <w:iCs w:val="0"/>
        <w:smallCaps w:val="0"/>
        <w:strike w:val="0"/>
        <w:color w:val="000000"/>
        <w:spacing w:val="0"/>
        <w:w w:val="100"/>
        <w:position w:val="0"/>
        <w:sz w:val="21"/>
        <w:szCs w:val="21"/>
        <w:u w:val="none"/>
        <w:lang w:val="cs"/>
      </w:rPr>
    </w:lvl>
    <w:lvl w:ilvl="2">
      <w:start w:val="1"/>
      <w:numFmt w:val="decimal"/>
      <w:lvlText w:val="%3)"/>
      <w:lvlJc w:val="left"/>
      <w:rPr>
        <w:rFonts w:ascii="Calibri" w:eastAsia="Calibri" w:hAnsi="Calibri" w:cs="Calibri"/>
        <w:b w:val="0"/>
        <w:bCs w:val="0"/>
        <w:i w:val="0"/>
        <w:iCs w:val="0"/>
        <w:smallCaps w:val="0"/>
        <w:strike w:val="0"/>
        <w:color w:val="000000"/>
        <w:spacing w:val="0"/>
        <w:w w:val="100"/>
        <w:position w:val="0"/>
        <w:sz w:val="21"/>
        <w:szCs w:val="21"/>
        <w:u w:val="none"/>
        <w:lang w:val="c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AB113F3"/>
    <w:multiLevelType w:val="multilevel"/>
    <w:tmpl w:val="8E222F7A"/>
    <w:lvl w:ilvl="0">
      <w:start w:val="1"/>
      <w:numFmt w:val="decimal"/>
      <w:pStyle w:val="Seznamploh"/>
      <w:lvlText w:val="Příloha %1"/>
      <w:lvlJc w:val="left"/>
      <w:pPr>
        <w:tabs>
          <w:tab w:val="num" w:pos="295"/>
        </w:tabs>
        <w:ind w:left="295" w:hanging="1106"/>
      </w:pPr>
      <w:rPr>
        <w:rFonts w:ascii="Times New Roman" w:hAnsi="Times New Roman" w:hint="default"/>
        <w:b w:val="0"/>
        <w:i w:val="0"/>
        <w:sz w:val="22"/>
        <w:u w:val="none"/>
      </w:rPr>
    </w:lvl>
    <w:lvl w:ilvl="1">
      <w:start w:val="1"/>
      <w:numFmt w:val="decimal"/>
      <w:pStyle w:val="SeznamPloh2"/>
      <w:lvlText w:val="Příloha %1.%2"/>
      <w:lvlJc w:val="left"/>
      <w:pPr>
        <w:tabs>
          <w:tab w:val="num" w:pos="2948"/>
        </w:tabs>
        <w:ind w:left="2948" w:hanging="1105"/>
      </w:pPr>
      <w:rPr>
        <w:rFonts w:ascii="Times New Roman" w:hAnsi="Times New Roman" w:hint="default"/>
        <w:b w:val="0"/>
        <w:i w:val="0"/>
        <w:sz w:val="22"/>
      </w:rPr>
    </w:lvl>
    <w:lvl w:ilvl="2">
      <w:start w:val="1"/>
      <w:numFmt w:val="decimal"/>
      <w:isLgl/>
      <w:lvlText w:val="%1.%2.%3"/>
      <w:lvlJc w:val="left"/>
      <w:pPr>
        <w:tabs>
          <w:tab w:val="num" w:pos="-933"/>
        </w:tabs>
        <w:ind w:left="-933" w:hanging="709"/>
      </w:pPr>
      <w:rPr>
        <w:rFonts w:ascii="Times New Roman" w:hAnsi="Times New Roman" w:hint="default"/>
        <w:b/>
        <w:i w:val="0"/>
        <w:sz w:val="22"/>
      </w:rPr>
    </w:lvl>
    <w:lvl w:ilvl="3">
      <w:start w:val="1"/>
      <w:numFmt w:val="decimal"/>
      <w:isLgl/>
      <w:lvlText w:val="%1.%2.%3.%4"/>
      <w:lvlJc w:val="left"/>
      <w:pPr>
        <w:tabs>
          <w:tab w:val="num" w:pos="-83"/>
        </w:tabs>
        <w:ind w:left="-83" w:hanging="850"/>
      </w:pPr>
      <w:rPr>
        <w:rFonts w:ascii="Times New Roman" w:hAnsi="Times New Roman" w:hint="default"/>
        <w:b/>
        <w:i w:val="0"/>
        <w:sz w:val="22"/>
      </w:rPr>
    </w:lvl>
    <w:lvl w:ilvl="4">
      <w:start w:val="1"/>
      <w:numFmt w:val="decimal"/>
      <w:isLgl/>
      <w:lvlText w:val="%1.%2.%3.%4.%5"/>
      <w:lvlJc w:val="left"/>
      <w:pPr>
        <w:tabs>
          <w:tab w:val="num" w:pos="909"/>
        </w:tabs>
        <w:ind w:left="909" w:hanging="992"/>
      </w:pPr>
      <w:rPr>
        <w:rFonts w:ascii="Times New Roman" w:hAnsi="Times New Roman" w:hint="default"/>
        <w:b/>
        <w:i w:val="0"/>
        <w:sz w:val="24"/>
      </w:rPr>
    </w:lvl>
    <w:lvl w:ilvl="5">
      <w:start w:val="1"/>
      <w:numFmt w:val="decimal"/>
      <w:lvlText w:val="%1.%2.%3.%4.%5.%6"/>
      <w:lvlJc w:val="left"/>
      <w:pPr>
        <w:tabs>
          <w:tab w:val="num" w:pos="-1199"/>
        </w:tabs>
        <w:ind w:left="-1199" w:hanging="1152"/>
      </w:pPr>
      <w:rPr>
        <w:rFonts w:hint="default"/>
      </w:rPr>
    </w:lvl>
    <w:lvl w:ilvl="6">
      <w:start w:val="1"/>
      <w:numFmt w:val="decimal"/>
      <w:lvlText w:val="%1.%2.%3.%4.%5.%6.%7"/>
      <w:lvlJc w:val="left"/>
      <w:pPr>
        <w:tabs>
          <w:tab w:val="num" w:pos="-1055"/>
        </w:tabs>
        <w:ind w:left="-1055" w:hanging="1296"/>
      </w:pPr>
      <w:rPr>
        <w:rFonts w:hint="default"/>
      </w:rPr>
    </w:lvl>
    <w:lvl w:ilvl="7">
      <w:start w:val="1"/>
      <w:numFmt w:val="decimal"/>
      <w:lvlText w:val="%1.%2.%3.%4.%5.%6.%7.%8"/>
      <w:lvlJc w:val="left"/>
      <w:pPr>
        <w:tabs>
          <w:tab w:val="num" w:pos="-911"/>
        </w:tabs>
        <w:ind w:left="-911" w:hanging="1440"/>
      </w:pPr>
      <w:rPr>
        <w:rFonts w:hint="default"/>
      </w:rPr>
    </w:lvl>
    <w:lvl w:ilvl="8">
      <w:start w:val="1"/>
      <w:numFmt w:val="decimal"/>
      <w:lvlText w:val="%1.%2.%3.%4.%5.%6.%7.%8.%9"/>
      <w:lvlJc w:val="left"/>
      <w:pPr>
        <w:tabs>
          <w:tab w:val="num" w:pos="-767"/>
        </w:tabs>
        <w:ind w:left="-767" w:hanging="1584"/>
      </w:pPr>
      <w:rPr>
        <w:rFonts w:hint="default"/>
      </w:rPr>
    </w:lvl>
  </w:abstractNum>
  <w:num w:numId="1" w16cid:durableId="1549414815">
    <w:abstractNumId w:val="0"/>
  </w:num>
  <w:num w:numId="2" w16cid:durableId="2145851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4B"/>
    <w:rsid w:val="000C17A5"/>
    <w:rsid w:val="00441BE7"/>
    <w:rsid w:val="00477602"/>
    <w:rsid w:val="004A0579"/>
    <w:rsid w:val="004B49CC"/>
    <w:rsid w:val="00547870"/>
    <w:rsid w:val="005611B7"/>
    <w:rsid w:val="00575642"/>
    <w:rsid w:val="0058024B"/>
    <w:rsid w:val="005B4488"/>
    <w:rsid w:val="00642DCF"/>
    <w:rsid w:val="00790B20"/>
    <w:rsid w:val="007F2F48"/>
    <w:rsid w:val="00817B34"/>
    <w:rsid w:val="00851178"/>
    <w:rsid w:val="008E2243"/>
    <w:rsid w:val="009C66AE"/>
    <w:rsid w:val="00B94AFA"/>
    <w:rsid w:val="00CA6C46"/>
    <w:rsid w:val="00CE0916"/>
    <w:rsid w:val="00DD01E0"/>
    <w:rsid w:val="00F004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F8BC4E"/>
  <w15:docId w15:val="{64126907-6529-4C01-883B-C1900E620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pacing w:val="0"/>
      <w:sz w:val="31"/>
      <w:szCs w:val="31"/>
    </w:rPr>
  </w:style>
  <w:style w:type="character" w:customStyle="1" w:styleId="Nadpis11">
    <w:name w:val="Nadpis #1"/>
    <w:basedOn w:val="Nadpis1"/>
    <w:rPr>
      <w:rFonts w:ascii="Calibri" w:eastAsia="Calibri" w:hAnsi="Calibri" w:cs="Calibri"/>
      <w:b w:val="0"/>
      <w:bCs w:val="0"/>
      <w:i w:val="0"/>
      <w:iCs w:val="0"/>
      <w:smallCaps w:val="0"/>
      <w:strike w:val="0"/>
      <w:spacing w:val="0"/>
      <w:sz w:val="31"/>
      <w:szCs w:val="31"/>
      <w:u w:val="single"/>
    </w:rPr>
  </w:style>
  <w:style w:type="character" w:customStyle="1" w:styleId="Nadpis2">
    <w:name w:val="Nadpis #2_"/>
    <w:basedOn w:val="Standardnpsmoodstavce"/>
    <w:link w:val="Nadpis20"/>
    <w:rPr>
      <w:rFonts w:ascii="Calibri" w:eastAsia="Calibri" w:hAnsi="Calibri" w:cs="Calibri"/>
      <w:b w:val="0"/>
      <w:bCs w:val="0"/>
      <w:i w:val="0"/>
      <w:iCs w:val="0"/>
      <w:smallCaps w:val="0"/>
      <w:strike w:val="0"/>
      <w:spacing w:val="0"/>
      <w:sz w:val="26"/>
      <w:szCs w:val="26"/>
    </w:rPr>
  </w:style>
  <w:style w:type="character" w:customStyle="1" w:styleId="Nadpis21">
    <w:name w:val="Nadpis #2"/>
    <w:basedOn w:val="Nadpis2"/>
    <w:rPr>
      <w:rFonts w:ascii="Calibri" w:eastAsia="Calibri" w:hAnsi="Calibri" w:cs="Calibri"/>
      <w:b w:val="0"/>
      <w:bCs w:val="0"/>
      <w:i w:val="0"/>
      <w:iCs w:val="0"/>
      <w:smallCaps w:val="0"/>
      <w:strike w:val="0"/>
      <w:spacing w:val="0"/>
      <w:sz w:val="26"/>
      <w:szCs w:val="26"/>
      <w:u w:val="singl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spacing w:val="0"/>
      <w:sz w:val="21"/>
      <w:szCs w:val="21"/>
    </w:rPr>
  </w:style>
  <w:style w:type="character" w:customStyle="1" w:styleId="Nadpis3">
    <w:name w:val="Nadpis #3_"/>
    <w:basedOn w:val="Standardnpsmoodstavce"/>
    <w:link w:val="Nadpis30"/>
    <w:rPr>
      <w:rFonts w:ascii="Calibri" w:eastAsia="Calibri" w:hAnsi="Calibri" w:cs="Calibri"/>
      <w:b w:val="0"/>
      <w:bCs w:val="0"/>
      <w:i w:val="0"/>
      <w:iCs w:val="0"/>
      <w:smallCaps w:val="0"/>
      <w:strike w:val="0"/>
      <w:spacing w:val="0"/>
      <w:sz w:val="21"/>
      <w:szCs w:val="21"/>
    </w:rPr>
  </w:style>
  <w:style w:type="character" w:customStyle="1" w:styleId="Zkladntext2">
    <w:name w:val="Základní text (2)_"/>
    <w:basedOn w:val="Standardnpsmoodstavce"/>
    <w:link w:val="Zkladntext20"/>
    <w:rPr>
      <w:rFonts w:ascii="Times New Roman" w:eastAsia="Times New Roman" w:hAnsi="Times New Roman" w:cs="Times New Roman"/>
      <w:b w:val="0"/>
      <w:bCs w:val="0"/>
      <w:i w:val="0"/>
      <w:iCs w:val="0"/>
      <w:smallCaps w:val="0"/>
      <w:strike w:val="0"/>
      <w:sz w:val="20"/>
      <w:szCs w:val="20"/>
    </w:rPr>
  </w:style>
  <w:style w:type="character" w:customStyle="1" w:styleId="Nadpis22">
    <w:name w:val="Nadpis #2"/>
    <w:basedOn w:val="Nadpis2"/>
    <w:rPr>
      <w:rFonts w:ascii="Calibri" w:eastAsia="Calibri" w:hAnsi="Calibri" w:cs="Calibri"/>
      <w:b w:val="0"/>
      <w:bCs w:val="0"/>
      <w:i w:val="0"/>
      <w:iCs w:val="0"/>
      <w:smallCaps w:val="0"/>
      <w:strike w:val="0"/>
      <w:spacing w:val="0"/>
      <w:sz w:val="26"/>
      <w:szCs w:val="26"/>
      <w:u w:val="single"/>
    </w:rPr>
  </w:style>
  <w:style w:type="character" w:customStyle="1" w:styleId="Nadpis23">
    <w:name w:val="Nadpis #2"/>
    <w:basedOn w:val="Nadpis2"/>
    <w:rPr>
      <w:rFonts w:ascii="Calibri" w:eastAsia="Calibri" w:hAnsi="Calibri" w:cs="Calibri"/>
      <w:b w:val="0"/>
      <w:bCs w:val="0"/>
      <w:i w:val="0"/>
      <w:iCs w:val="0"/>
      <w:smallCaps w:val="0"/>
      <w:strike w:val="0"/>
      <w:spacing w:val="0"/>
      <w:sz w:val="26"/>
      <w:szCs w:val="26"/>
      <w:u w:val="single"/>
    </w:rPr>
  </w:style>
  <w:style w:type="paragraph" w:customStyle="1" w:styleId="Nadpis10">
    <w:name w:val="Nadpis #1"/>
    <w:basedOn w:val="Normln"/>
    <w:link w:val="Nadpis1"/>
    <w:pPr>
      <w:shd w:val="clear" w:color="auto" w:fill="FFFFFF"/>
      <w:spacing w:after="600" w:line="0" w:lineRule="atLeast"/>
      <w:jc w:val="both"/>
      <w:outlineLvl w:val="0"/>
    </w:pPr>
    <w:rPr>
      <w:rFonts w:ascii="Calibri" w:eastAsia="Calibri" w:hAnsi="Calibri" w:cs="Calibri"/>
      <w:b/>
      <w:bCs/>
      <w:sz w:val="31"/>
      <w:szCs w:val="31"/>
    </w:rPr>
  </w:style>
  <w:style w:type="paragraph" w:customStyle="1" w:styleId="Nadpis20">
    <w:name w:val="Nadpis #2"/>
    <w:basedOn w:val="Normln"/>
    <w:link w:val="Nadpis2"/>
    <w:pPr>
      <w:shd w:val="clear" w:color="auto" w:fill="FFFFFF"/>
      <w:spacing w:before="600" w:after="240" w:line="0" w:lineRule="atLeast"/>
      <w:jc w:val="both"/>
      <w:outlineLvl w:val="1"/>
    </w:pPr>
    <w:rPr>
      <w:rFonts w:ascii="Calibri" w:eastAsia="Calibri" w:hAnsi="Calibri" w:cs="Calibri"/>
      <w:b/>
      <w:bCs/>
      <w:sz w:val="26"/>
      <w:szCs w:val="26"/>
    </w:rPr>
  </w:style>
  <w:style w:type="paragraph" w:customStyle="1" w:styleId="Zkladntext1">
    <w:name w:val="Základní text1"/>
    <w:basedOn w:val="Normln"/>
    <w:link w:val="Zkladntext"/>
    <w:pPr>
      <w:shd w:val="clear" w:color="auto" w:fill="FFFFFF"/>
      <w:spacing w:line="0" w:lineRule="atLeast"/>
    </w:pPr>
    <w:rPr>
      <w:rFonts w:ascii="Calibri" w:eastAsia="Calibri" w:hAnsi="Calibri" w:cs="Calibri"/>
      <w:sz w:val="21"/>
      <w:szCs w:val="21"/>
    </w:rPr>
  </w:style>
  <w:style w:type="paragraph" w:customStyle="1" w:styleId="Nadpis30">
    <w:name w:val="Nadpis #3"/>
    <w:basedOn w:val="Normln"/>
    <w:link w:val="Nadpis3"/>
    <w:pPr>
      <w:shd w:val="clear" w:color="auto" w:fill="FFFFFF"/>
      <w:spacing w:before="480" w:after="240" w:line="0" w:lineRule="atLeast"/>
      <w:jc w:val="both"/>
      <w:outlineLvl w:val="2"/>
    </w:pPr>
    <w:rPr>
      <w:rFonts w:ascii="Calibri" w:eastAsia="Calibri" w:hAnsi="Calibri" w:cs="Calibri"/>
      <w:b/>
      <w:bCs/>
      <w:sz w:val="21"/>
      <w:szCs w:val="21"/>
    </w:rPr>
  </w:style>
  <w:style w:type="paragraph" w:customStyle="1" w:styleId="Zkladntext20">
    <w:name w:val="Základní text (2)"/>
    <w:basedOn w:val="Normln"/>
    <w:link w:val="Zkladntext2"/>
    <w:pPr>
      <w:shd w:val="clear" w:color="auto" w:fill="FFFFFF"/>
      <w:spacing w:line="0" w:lineRule="atLeast"/>
    </w:pPr>
    <w:rPr>
      <w:rFonts w:ascii="Times New Roman" w:eastAsia="Times New Roman" w:hAnsi="Times New Roman" w:cs="Times New Roman"/>
      <w:sz w:val="20"/>
      <w:szCs w:val="20"/>
    </w:rPr>
  </w:style>
  <w:style w:type="paragraph" w:styleId="Revize">
    <w:name w:val="Revision"/>
    <w:hidden/>
    <w:uiPriority w:val="99"/>
    <w:semiHidden/>
    <w:rsid w:val="00817B34"/>
    <w:rPr>
      <w:color w:val="000000"/>
    </w:rPr>
  </w:style>
  <w:style w:type="paragraph" w:styleId="Zhlav">
    <w:name w:val="header"/>
    <w:basedOn w:val="Normln"/>
    <w:link w:val="ZhlavChar"/>
    <w:uiPriority w:val="99"/>
    <w:unhideWhenUsed/>
    <w:rsid w:val="008E2243"/>
    <w:pPr>
      <w:tabs>
        <w:tab w:val="center" w:pos="4536"/>
        <w:tab w:val="right" w:pos="9072"/>
      </w:tabs>
    </w:pPr>
  </w:style>
  <w:style w:type="character" w:customStyle="1" w:styleId="ZhlavChar">
    <w:name w:val="Záhlaví Char"/>
    <w:basedOn w:val="Standardnpsmoodstavce"/>
    <w:link w:val="Zhlav"/>
    <w:uiPriority w:val="99"/>
    <w:rsid w:val="008E2243"/>
    <w:rPr>
      <w:color w:val="000000"/>
    </w:rPr>
  </w:style>
  <w:style w:type="paragraph" w:styleId="Zpat">
    <w:name w:val="footer"/>
    <w:basedOn w:val="Normln"/>
    <w:link w:val="ZpatChar"/>
    <w:uiPriority w:val="99"/>
    <w:unhideWhenUsed/>
    <w:rsid w:val="008E2243"/>
    <w:pPr>
      <w:tabs>
        <w:tab w:val="center" w:pos="4536"/>
        <w:tab w:val="right" w:pos="9072"/>
      </w:tabs>
    </w:pPr>
  </w:style>
  <w:style w:type="character" w:customStyle="1" w:styleId="ZpatChar">
    <w:name w:val="Zápatí Char"/>
    <w:basedOn w:val="Standardnpsmoodstavce"/>
    <w:link w:val="Zpat"/>
    <w:uiPriority w:val="99"/>
    <w:rsid w:val="008E2243"/>
    <w:rPr>
      <w:color w:val="000000"/>
    </w:rPr>
  </w:style>
  <w:style w:type="paragraph" w:customStyle="1" w:styleId="SeznamPloh2">
    <w:name w:val="Seznam_Příloh 2"/>
    <w:basedOn w:val="Normln"/>
    <w:rsid w:val="00441BE7"/>
    <w:pPr>
      <w:numPr>
        <w:ilvl w:val="1"/>
        <w:numId w:val="2"/>
      </w:numPr>
      <w:spacing w:before="120" w:after="120"/>
    </w:pPr>
    <w:rPr>
      <w:rFonts w:ascii="Times New Roman" w:eastAsia="SimSun" w:hAnsi="Times New Roman" w:cs="Times New Roman"/>
      <w:bCs/>
      <w:color w:val="auto"/>
      <w:sz w:val="22"/>
      <w:szCs w:val="22"/>
      <w:lang w:val="cs-CZ" w:eastAsia="en-US"/>
    </w:rPr>
  </w:style>
  <w:style w:type="paragraph" w:customStyle="1" w:styleId="Seznamploh">
    <w:name w:val="Seznam_příloh"/>
    <w:basedOn w:val="Normln"/>
    <w:rsid w:val="00441BE7"/>
    <w:pPr>
      <w:numPr>
        <w:numId w:val="2"/>
      </w:numPr>
      <w:spacing w:before="120" w:after="120"/>
    </w:pPr>
    <w:rPr>
      <w:rFonts w:ascii="Times New Roman" w:eastAsia="SimSun" w:hAnsi="Times New Roman" w:cs="Times New Roman"/>
      <w:bCs/>
      <w:color w:val="auto"/>
      <w:sz w:val="22"/>
      <w:szCs w:val="22"/>
      <w:lang w:val="cs-CZ"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1365</Words>
  <Characters>8059</Characters>
  <Application>Microsoft Office Word</Application>
  <DocSecurity>0</DocSecurity>
  <Lines>67</Lines>
  <Paragraphs>18</Paragraphs>
  <ScaleCrop>false</ScaleCrop>
  <Company>HAVEL &amp; PARTNERS</Company>
  <LinksUpToDate>false</LinksUpToDate>
  <CharactersWithSpaces>9406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Reception2</dc:creator>
  <cp:keywords/>
  <cp:lastModifiedBy>HAVEL &amp; PARTNERS </cp:lastModifiedBy>
  <cp:revision>4</cp:revision>
  <dcterms:created xsi:type="dcterms:W3CDTF">2026-03-03T09:37:00Z</dcterms:created>
  <dcterms:modified xsi:type="dcterms:W3CDTF">2026-03-05T15:21:00Z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15a8442-68f3-4087-8f05-d564bed44e92_Enabled">
    <vt:lpwstr>true</vt:lpwstr>
  </property>
  <property fmtid="{D5CDD505-2E9C-101B-9397-08002B2CF9AE}" pid="3" name="MSIP_Label_f15a8442-68f3-4087-8f05-d564bed44e92_SetDate">
    <vt:lpwstr>2026-03-03T09:18:43Z</vt:lpwstr>
  </property>
  <property fmtid="{D5CDD505-2E9C-101B-9397-08002B2CF9AE}" pid="4" name="MSIP_Label_f15a8442-68f3-4087-8f05-d564bed44e92_Method">
    <vt:lpwstr>Standard</vt:lpwstr>
  </property>
  <property fmtid="{D5CDD505-2E9C-101B-9397-08002B2CF9AE}" pid="5" name="MSIP_Label_f15a8442-68f3-4087-8f05-d564bed44e92_Name">
    <vt:lpwstr>97171605-0670-4512-b8c8-ebe12520d29a</vt:lpwstr>
  </property>
  <property fmtid="{D5CDD505-2E9C-101B-9397-08002B2CF9AE}" pid="6" name="MSIP_Label_f15a8442-68f3-4087-8f05-d564bed44e92_SiteId">
    <vt:lpwstr>138f17b0-6ad5-4ddf-a195-24e73c3655fd</vt:lpwstr>
  </property>
  <property fmtid="{D5CDD505-2E9C-101B-9397-08002B2CF9AE}" pid="7" name="MSIP_Label_f15a8442-68f3-4087-8f05-d564bed44e92_ActionId">
    <vt:lpwstr>024b4363-8425-4f61-b088-03e787ddfecd</vt:lpwstr>
  </property>
  <property fmtid="{D5CDD505-2E9C-101B-9397-08002B2CF9AE}" pid="8" name="MSIP_Label_f15a8442-68f3-4087-8f05-d564bed44e92_ContentBits">
    <vt:lpwstr>0</vt:lpwstr>
  </property>
  <property fmtid="{D5CDD505-2E9C-101B-9397-08002B2CF9AE}" pid="9" name="MSIP_Label_f15a8442-68f3-4087-8f05-d564bed44e92_Tag">
    <vt:lpwstr>10, 3, 0, 1</vt:lpwstr>
  </property>
</Properties>
</file>