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3B" w:rsidRDefault="005A5FB2" w:rsidP="009E7639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bookmarkStart w:id="0" w:name="bookmark7"/>
      <w:r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t>Souhrnná technická</w:t>
      </w:r>
      <w:r w:rsidR="008500CC" w:rsidRPr="003E2DC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t xml:space="preserve"> zpráva</w:t>
      </w:r>
    </w:p>
    <w:bookmarkEnd w:id="0"/>
    <w:p w:rsidR="00F10CDA" w:rsidRPr="002F329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2F329A">
        <w:rPr>
          <w:b/>
        </w:rPr>
        <w:t>požadavky na zpracování dodavatelské dokumentace stavby,</w:t>
      </w:r>
    </w:p>
    <w:p w:rsidR="002F329A" w:rsidRDefault="002F329A" w:rsidP="002F329A">
      <w:pPr>
        <w:spacing w:before="240"/>
      </w:pPr>
      <w:r w:rsidRPr="002F329A">
        <w:t xml:space="preserve">Dodavatelská dokumentace stavby bude vypracována dle podkladů z vypracované </w:t>
      </w:r>
      <w:r>
        <w:t>p</w:t>
      </w:r>
      <w:r w:rsidRPr="002F329A">
        <w:t>rojektové dokumentace pro provádění stavby (DPS).</w:t>
      </w:r>
      <w:r>
        <w:t xml:space="preserve"> </w:t>
      </w:r>
      <w:r w:rsidRPr="002F329A">
        <w:t>Požadavky pro vypracování dodavatelské dokumentace budou na základě výběrového</w:t>
      </w:r>
      <w:r>
        <w:t xml:space="preserve"> </w:t>
      </w:r>
      <w:r w:rsidRPr="002F329A">
        <w:t>řízení, kde výběr dodavatele bude určovat příslušné stavební a konstrukční materiál</w:t>
      </w:r>
      <w:r w:rsidR="0080149A">
        <w:t>y</w:t>
      </w:r>
      <w:r w:rsidRPr="002F329A">
        <w:t>. Dodavatelská dokumentace a následná realizace bude splňovat proje</w:t>
      </w:r>
      <w:r>
        <w:t>k</w:t>
      </w:r>
      <w:r w:rsidRPr="002F329A">
        <w:t>tové a montážní návody jednotlivých dodavatelů na příslušný stavební či konstrukční materiál. Dodavatel stavby obdrží od objednatele dokumentaci pro provádění stavby (DPS), dle které dopracuje realizační dokumentaci (dle soutěžních podmínek objednatele).</w:t>
      </w:r>
    </w:p>
    <w:p w:rsidR="0080149A" w:rsidRPr="002F329A" w:rsidRDefault="0080149A" w:rsidP="002F329A">
      <w:pPr>
        <w:spacing w:before="240"/>
      </w:pPr>
      <w:r>
        <w:t>Dodavatelská dokumentace musí být schválena generálním projektantem stavby.</w:t>
      </w:r>
    </w:p>
    <w:p w:rsidR="00555551" w:rsidRDefault="002F329A" w:rsidP="002F329A">
      <w:pPr>
        <w:spacing w:before="240"/>
      </w:pPr>
      <w:r w:rsidRPr="002F329A">
        <w:t>V případě odchylek, provedení jiného rozsahu prací, nebo změně materiálu, je nutné</w:t>
      </w:r>
      <w:r>
        <w:t xml:space="preserve"> </w:t>
      </w:r>
      <w:r w:rsidRPr="002F329A">
        <w:t>vypracovat dokumentaci skutečného provedení. Zhotovitel je povinen na vlastní náklady</w:t>
      </w:r>
      <w:r>
        <w:t xml:space="preserve"> </w:t>
      </w:r>
      <w:r w:rsidRPr="002F329A">
        <w:t>vyhotovit v případě potřeby dílenskou a výrobní dokumentaci k jednotlivým částem stavby</w:t>
      </w:r>
      <w:r w:rsidR="0080149A">
        <w:t>, kterou opět schvaluje generální projektant.</w:t>
      </w:r>
      <w:r w:rsidRPr="002F329A">
        <w:t xml:space="preserve"> Vybraná firma na základě </w:t>
      </w:r>
      <w:r>
        <w:t>soutěže,</w:t>
      </w:r>
      <w:r w:rsidRPr="002F329A">
        <w:t xml:space="preserve"> se postará o výkresy, které budou potřebné k provedení díla z hlediska firmou použ</w:t>
      </w:r>
      <w:r>
        <w:t xml:space="preserve">ívaných materiálů a technologií </w:t>
      </w:r>
      <w:r w:rsidRPr="002F329A">
        <w:t xml:space="preserve">konkrétně </w:t>
      </w:r>
      <w:r>
        <w:t>neuvedených ve stupni DPS</w:t>
      </w:r>
      <w:r w:rsidRPr="002F329A">
        <w:t>.</w:t>
      </w:r>
    </w:p>
    <w:p w:rsidR="002F329A" w:rsidRPr="002F329A" w:rsidRDefault="002F329A" w:rsidP="002F329A">
      <w:pPr>
        <w:spacing w:before="240"/>
      </w:pP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požadavky na zpracování plánu bezpečnosti a ochrany zdraví při práci na staveništi,</w:t>
      </w:r>
    </w:p>
    <w:p w:rsidR="000D1DA8" w:rsidRPr="005A0930" w:rsidRDefault="000D1DA8" w:rsidP="000D1DA8">
      <w:pPr>
        <w:spacing w:before="240"/>
      </w:pPr>
      <w:r w:rsidRPr="005A0930">
        <w:t>Základními právními dokumenty, které je dodavatel povinen dodržovat při realizaci stavby ve vztahu k bezpečnosti a ochraně zdraví při práci jsou: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 262/2006 Sb. Zákoník práce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č.309/2006 Sb., kterým se upravují další požadavky bezpečnosti a ochrany zdraví při práci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č.591/2006 Sb. o bližších požadavcích na BOZP na staveništích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592/2006 Sb. o podmínkách akreditace a provádění zkoušek z odborné způsobilosti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101/2005 Sb. o podrobnějších požadavcích na pracoviště a pracovní prostředí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362/2005 Sb. o bližších požadavcích na BOZP na pracovištích s nebezpečím pádu z výšky nebo do hloubky</w:t>
      </w:r>
    </w:p>
    <w:p w:rsidR="000D1DA8" w:rsidRPr="005A0930" w:rsidRDefault="000D1DA8" w:rsidP="000D1DA8">
      <w:pPr>
        <w:spacing w:before="240"/>
      </w:pPr>
      <w:r w:rsidRPr="005A0930">
        <w:t>V návaznosti na výše uvedené zákony a nařízení vlády bude mít dodavatel stavby interně propracovaný systém BOZP.</w:t>
      </w:r>
    </w:p>
    <w:p w:rsidR="000D1DA8" w:rsidRPr="005A0930" w:rsidRDefault="000D1DA8" w:rsidP="000D1DA8">
      <w:r w:rsidRPr="005A0930">
        <w:t>Veškeré stavební práce musí být prováděny v souladu s platnými technologickými předpisy a ustanoveními ČSN.</w:t>
      </w:r>
    </w:p>
    <w:p w:rsidR="000D1DA8" w:rsidRPr="005A0930" w:rsidRDefault="000D1DA8" w:rsidP="000D1DA8">
      <w:r w:rsidRPr="005A0930">
        <w:t>Velkou pozornost z hlediska bezpečnosti práce je nutné věnovat zemním pracím (ochrana inženýrských sítí, opatření proti sesuvu zemin).</w:t>
      </w:r>
    </w:p>
    <w:p w:rsidR="000D1DA8" w:rsidRPr="005A0930" w:rsidRDefault="000D1DA8" w:rsidP="000D1DA8">
      <w:r w:rsidRPr="005A0930">
        <w:t>Při práci v ochranných pásmech vedení vysokého napětí elektrické energie, v ochranných pásmech elektrických stanic a v ochranných pásmech plynovodů je nutné dodržovat ustanovení zákona o podmínkách podnikání a o výkonu státní správy v energetických odvětvích a o Státní energetické inspekci, zveřejněného Vyhláškou č.458/2000 Sb. </w:t>
      </w:r>
    </w:p>
    <w:p w:rsidR="000D1DA8" w:rsidRPr="000D1DA8" w:rsidRDefault="000D1DA8" w:rsidP="000D1DA8">
      <w:pPr>
        <w:pStyle w:val="Odstavecseseznamem"/>
        <w:rPr>
          <w:b/>
        </w:rPr>
      </w:pPr>
      <w:r w:rsidRPr="005A0930">
        <w:lastRenderedPageBreak/>
        <w:t>Investor stavby zřídí pro realizaci stavby funkci koordinátora bezpečnosti práce.</w:t>
      </w: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podmínky realizace prací, budou-li prováděny v ochranných nebo bezpečnostních pásmech jiných staveb,</w:t>
      </w:r>
    </w:p>
    <w:p w:rsidR="00555551" w:rsidRDefault="00555551" w:rsidP="00827268">
      <w:pPr>
        <w:pStyle w:val="Odstavecseseznamem"/>
        <w:ind w:left="1211"/>
      </w:pPr>
      <w:r>
        <w:t>V daném území jsou stavbou dotčena ochranná pásma inženýrských sítí a to elektrické energie, vodovodu, splaškové kanalizace, plynovodu a datové sítě. Práce v ochranných pásmech bude probíhat s nejvyšší obezřetností za podmínek určených jednotlivými správci inženýrských sítí.</w:t>
      </w:r>
    </w:p>
    <w:p w:rsidR="000D1DA8" w:rsidRPr="000D1DA8" w:rsidRDefault="000D1DA8" w:rsidP="000D1DA8">
      <w:pPr>
        <w:pStyle w:val="Odstavecseseznamem"/>
        <w:rPr>
          <w:b/>
        </w:rPr>
      </w:pP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</w:p>
    <w:p w:rsidR="002F329A" w:rsidRPr="00140FFC" w:rsidRDefault="002F329A" w:rsidP="002F329A">
      <w:pPr>
        <w:pStyle w:val="Odstavecseseznamem"/>
        <w:ind w:left="1211"/>
      </w:pPr>
      <w:r w:rsidRPr="00140FFC">
        <w:t xml:space="preserve">Vzhledem k tomu, že jsou hranice staveniště prakticky lemovány komunikacemi, je dodavatel povinen zajistit, aby nedocházelo k znečištění okolních komunikací. Je třeba provádět pravidelnou kontrolu komunikací a nevyhnutelné znečistění komunikací neprodleně odstraňovat. U vjezdů na veřejné komunikace zabezpečit čistění kol (případně i podvozků) dopravních prostředků a strojů. </w:t>
      </w:r>
    </w:p>
    <w:p w:rsidR="002F329A" w:rsidRPr="00043416" w:rsidRDefault="002F329A" w:rsidP="002F329A">
      <w:pPr>
        <w:pStyle w:val="Odstavecseseznamem"/>
        <w:ind w:left="1211"/>
      </w:pPr>
      <w:r w:rsidRPr="00140FFC">
        <w:t>Na okolní pozemky  mimo hranice staveniště nelze skladovat materiál pro realizaci stavby.</w:t>
      </w:r>
    </w:p>
    <w:p w:rsidR="000D1DA8" w:rsidRPr="000D1DA8" w:rsidRDefault="000D1DA8" w:rsidP="002F329A">
      <w:pPr>
        <w:pStyle w:val="Odstavecseseznamem"/>
        <w:ind w:left="1418"/>
        <w:rPr>
          <w:b/>
        </w:rPr>
      </w:pPr>
    </w:p>
    <w:p w:rsidR="00F10CDA" w:rsidRPr="000D1DA8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ochrana životního prostředí při výstavbě.</w:t>
      </w:r>
    </w:p>
    <w:p w:rsidR="000D1DA8" w:rsidRPr="005A0930" w:rsidRDefault="000D1DA8" w:rsidP="000D1DA8">
      <w:r w:rsidRPr="005A0930">
        <w:t xml:space="preserve">Při provádění stavby je dodavatel povinen omezit škodlivé důsledky stavební činnosti na životní prostředí. </w:t>
      </w:r>
    </w:p>
    <w:p w:rsidR="000D1DA8" w:rsidRPr="005A0930" w:rsidRDefault="000D1DA8" w:rsidP="000D1DA8">
      <w:r w:rsidRPr="005A0930">
        <w:t>Dodavatelské firmy jsou povinny provádět zejména tato opatření: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 výstavbu nasazovat stavební stroje v řádném technickém stavu opatřené předepsanými kryty pro snížení hluku;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provádět průběžně technické prohlídky a údržbu stavebních mechanizmů;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zabezpečovat plynulou práci stavebních strojů zajištěním dostatečného počtu dopravních prostředků. V době nutných přestávek zastavovat motory stavebních strojů;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nepřipustit provoz dopravních prostředků a strojů s nadměrným množstvím škodlivin ve výfukových plynech;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v maximální míře omezit prašnost při stavební činnosti a dopravě;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přepravovaný materiál zajistit tak, aby neznečisťoval dopravní trasy v areálu a vjezd do něj (plachty, vlhčení, snížení rychlosti apod.);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omezit pojíždění a stání vozidel mimo vyhrazené zpevněné plochy;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udržovat pořádek na staveništi, materiály ukládat odborně na vyhrazená místa;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zamezit znečistění vod (ropné látky, bláto, umývání vozidel).</w:t>
      </w:r>
    </w:p>
    <w:p w:rsidR="000D1DA8" w:rsidRPr="005A0930" w:rsidRDefault="000D1DA8" w:rsidP="000D1DA8">
      <w:r w:rsidRPr="005A0930">
        <w:t>Předpokládá se jako samozřejmá nutnost neprovádět hlučné stavební práce v nočních hodinách (21:00 - 7:00) a o víkendech!</w:t>
      </w:r>
    </w:p>
    <w:p w:rsidR="00D40877" w:rsidRDefault="00D40877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Pr="00D40877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F10CDA" w:rsidRDefault="00F10CDA" w:rsidP="00F10CDA">
      <w:pPr>
        <w:pStyle w:val="Nadpis2"/>
        <w:rPr>
          <w:rStyle w:val="Nadpis6"/>
          <w:rFonts w:ascii="Gotham Bold" w:hAnsi="Gotham Bold" w:cstheme="majorBidi"/>
          <w:b w:val="0"/>
          <w:bCs w:val="0"/>
          <w:spacing w:val="0"/>
        </w:rPr>
      </w:pPr>
      <w:r w:rsidRPr="00B11B35">
        <w:rPr>
          <w:rStyle w:val="Nadpis6"/>
          <w:rFonts w:ascii="Gotham Bold" w:hAnsi="Gotham Bold" w:cstheme="majorBidi"/>
          <w:b w:val="0"/>
          <w:bCs w:val="0"/>
          <w:spacing w:val="0"/>
        </w:rPr>
        <w:lastRenderedPageBreak/>
        <w:t>Popis území stavby</w:t>
      </w:r>
    </w:p>
    <w:p w:rsidR="00F10CDA" w:rsidRPr="00F10CDA" w:rsidRDefault="00F10CDA" w:rsidP="00F10CDA">
      <w:pPr>
        <w:pStyle w:val="Odstavecseseznamem"/>
      </w:pPr>
    </w:p>
    <w:p w:rsidR="009E7639" w:rsidRPr="00671734" w:rsidRDefault="00772CA5" w:rsidP="007F3166">
      <w:pPr>
        <w:pStyle w:val="Odstavecseseznamem"/>
        <w:numPr>
          <w:ilvl w:val="0"/>
          <w:numId w:val="16"/>
        </w:numPr>
        <w:rPr>
          <w:b/>
        </w:rPr>
      </w:pPr>
      <w:r w:rsidRPr="00671734">
        <w:rPr>
          <w:b/>
        </w:rPr>
        <w:t>c</w:t>
      </w:r>
      <w:r w:rsidR="009E7639" w:rsidRPr="00671734">
        <w:rPr>
          <w:b/>
        </w:rPr>
        <w:t>harakteristika stavebního pozemku</w:t>
      </w:r>
      <w:r w:rsidRPr="00671734">
        <w:rPr>
          <w:b/>
        </w:rPr>
        <w:t>, zastavěné území a nezastavěné území, soulad navrhované stavby s charakterem území, dosavadní využití a zastavěnost území,</w:t>
      </w:r>
    </w:p>
    <w:p w:rsidR="00751147" w:rsidRDefault="00751147" w:rsidP="00751147">
      <w:r w:rsidRPr="002B7759">
        <w:rPr>
          <w:rStyle w:val="ZkladntextChar1"/>
          <w:rFonts w:ascii="Gotham Book" w:eastAsia="Calibri" w:hAnsi="Gotham Book"/>
          <w:spacing w:val="0"/>
        </w:rPr>
        <w:t xml:space="preserve">Západní část areálu BVV bude uvolněna pro stavbu </w:t>
      </w:r>
      <w:r w:rsidRPr="002B7759">
        <w:t>nového multifunkčního sportovního a kulturního pavilonu, proto je nutné přesunout</w:t>
      </w:r>
      <w:r>
        <w:t xml:space="preserve"> stávající odpadové hospodářství a areál BVV uzavřít. Přesunuty budou brány 9, 8 a 7 do nových pozic. Nově bude přesunuta i spedice se skladovým zázemím. </w:t>
      </w:r>
    </w:p>
    <w:p w:rsidR="00751147" w:rsidRDefault="00751147" w:rsidP="00751147">
      <w:r>
        <w:t>Plochy pro stavbu dnes leží uvnitř areálu BVV</w:t>
      </w:r>
    </w:p>
    <w:p w:rsidR="00751147" w:rsidRDefault="00751147" w:rsidP="00751147">
      <w:r>
        <w:t>Území je dnes volné</w:t>
      </w:r>
      <w:r w:rsidR="0088556D">
        <w:t xml:space="preserve"> – n</w:t>
      </w:r>
      <w:r w:rsidR="00F10CDA">
        <w:t>e</w:t>
      </w:r>
      <w:r w:rsidR="0088556D">
        <w:t>zastavěné,</w:t>
      </w:r>
      <w:r>
        <w:t xml:space="preserve"> z větší části tvořené volnými zpevněnými plochami, s jedním likusovým objektem, který bude demolován. </w:t>
      </w:r>
    </w:p>
    <w:p w:rsidR="0088556D" w:rsidRDefault="0088556D" w:rsidP="00751147">
      <w:r>
        <w:t>Navrhovaná stavba je v souladu s charakterem území.</w:t>
      </w:r>
    </w:p>
    <w:p w:rsidR="00F10CDA" w:rsidRPr="00005F5A" w:rsidRDefault="00F10CDA" w:rsidP="00F10CDA">
      <w:pPr>
        <w:pStyle w:val="Odstavecseseznamem"/>
        <w:numPr>
          <w:ilvl w:val="0"/>
          <w:numId w:val="13"/>
        </w:numPr>
        <w:rPr>
          <w:b/>
        </w:rPr>
      </w:pPr>
      <w:r w:rsidRPr="00F10CDA">
        <w:rPr>
          <w:b/>
        </w:rPr>
        <w:t> </w:t>
      </w:r>
      <w:r w:rsidRPr="00005F5A">
        <w:rPr>
          <w:b/>
        </w:rPr>
        <w:t>údaje o souladu u s územním rozhodnutím nebo regulačním plánem nebo veřejnoprávní smlouvou územní rozhodnutí nahrazující anebo územním souhlasem,</w:t>
      </w:r>
    </w:p>
    <w:p w:rsidR="002F329A" w:rsidRDefault="002F329A" w:rsidP="002F329A">
      <w:r w:rsidRPr="00005F5A">
        <w:t>Navrhovaná stavba je v souladu s vydaným společným rozhodnutím.</w:t>
      </w:r>
    </w:p>
    <w:p w:rsidR="002F329A" w:rsidRPr="00DB7348" w:rsidRDefault="002F329A" w:rsidP="00751147">
      <w:pPr>
        <w:rPr>
          <w:rStyle w:val="ZkladntextChar1"/>
          <w:rFonts w:ascii="Gotham Book" w:hAnsi="Gotham Book"/>
          <w:color w:val="000000"/>
          <w:highlight w:val="yellow"/>
        </w:rPr>
      </w:pPr>
    </w:p>
    <w:p w:rsidR="00F10CDA" w:rsidRPr="00F10CDA" w:rsidRDefault="00772CA5" w:rsidP="007F3166">
      <w:pPr>
        <w:pStyle w:val="Odstavecseseznamem"/>
        <w:numPr>
          <w:ilvl w:val="0"/>
          <w:numId w:val="13"/>
        </w:numPr>
      </w:pPr>
      <w:r w:rsidRPr="007F3166">
        <w:rPr>
          <w:b/>
        </w:rPr>
        <w:t>údaje o souladu stavby s územně plánovací dokumentací</w:t>
      </w:r>
    </w:p>
    <w:p w:rsidR="0088556D" w:rsidRPr="00677F94" w:rsidRDefault="0088556D" w:rsidP="00F10CDA">
      <w:r w:rsidRPr="00677F94">
        <w:t xml:space="preserve">Dotčené parcely v </w:t>
      </w:r>
      <w:proofErr w:type="spellStart"/>
      <w:proofErr w:type="gramStart"/>
      <w:r w:rsidRPr="00677F94">
        <w:t>k.ú</w:t>
      </w:r>
      <w:proofErr w:type="spellEnd"/>
      <w:r w:rsidRPr="00677F94">
        <w:t>.</w:t>
      </w:r>
      <w:proofErr w:type="gramEnd"/>
      <w:r w:rsidRPr="00677F94">
        <w:t xml:space="preserve"> Pisárky jsou v</w:t>
      </w:r>
      <w:r>
        <w:t xml:space="preserve"> platném</w:t>
      </w:r>
      <w:r w:rsidRPr="00677F94">
        <w:t> Územním plánu města Brna součástí funkční plochy návrhové – ostatní zvláštní plocha typ N – který vymezuje areály celoměstského nebo nadměstského významu. Stavba je v souladu s územně plánovací dokumentací</w:t>
      </w:r>
      <w:r>
        <w:t xml:space="preserve"> i </w:t>
      </w:r>
      <w:proofErr w:type="spellStart"/>
      <w:r>
        <w:t>cíly</w:t>
      </w:r>
      <w:proofErr w:type="spellEnd"/>
      <w:r>
        <w:t xml:space="preserve"> a úkoly územního plánování</w:t>
      </w:r>
      <w:r w:rsidRPr="00677F94">
        <w:t>.</w:t>
      </w:r>
    </w:p>
    <w:p w:rsidR="0088556D" w:rsidRPr="00671734" w:rsidRDefault="0088556D" w:rsidP="0088556D">
      <w:pPr>
        <w:pStyle w:val="Odstavecseseznamem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vydaných rozhodnutích o povolení výjimky z obecných požadavků na využívání území, </w:t>
      </w:r>
    </w:p>
    <w:p w:rsidR="0088556D" w:rsidRPr="0088556D" w:rsidRDefault="0088556D" w:rsidP="0088556D">
      <w:pPr>
        <w:pStyle w:val="Odstavecseseznamem"/>
        <w:suppressAutoHyphens/>
        <w:ind w:left="1211"/>
        <w:rPr>
          <w:bCs/>
        </w:rPr>
      </w:pPr>
      <w:r w:rsidRPr="0088556D">
        <w:rPr>
          <w:bCs/>
        </w:rPr>
        <w:t>Nejsou vydána</w:t>
      </w:r>
    </w:p>
    <w:p w:rsidR="0088556D" w:rsidRPr="00671734" w:rsidRDefault="0088556D" w:rsidP="0088556D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tom, zda a v jakých částech dokumentace jsou zohledněny podmínky závazných stanovisek dotčených orgánů, </w:t>
      </w:r>
    </w:p>
    <w:p w:rsidR="0088556D" w:rsidRDefault="0088556D" w:rsidP="0088556D">
      <w:pPr>
        <w:pStyle w:val="Odstavecseseznamem"/>
        <w:ind w:left="1211"/>
      </w:pPr>
      <w:r w:rsidRPr="0088556D">
        <w:t>Podmínky závazných stanovisek do</w:t>
      </w:r>
      <w:r>
        <w:t xml:space="preserve">tčených orgánů jsou zohledněny jak v části </w:t>
      </w:r>
      <w:proofErr w:type="spellStart"/>
      <w:r w:rsidR="00013489">
        <w:t>architektonick</w:t>
      </w:r>
      <w:r w:rsidR="00F875D9">
        <w:t>o</w:t>
      </w:r>
      <w:proofErr w:type="spellEnd"/>
      <w:r w:rsidR="00F875D9">
        <w:t xml:space="preserve"> - </w:t>
      </w:r>
      <w:r>
        <w:t xml:space="preserve">stavební, tak i v části profesí </w:t>
      </w:r>
      <w:r w:rsidR="00F875D9">
        <w:t xml:space="preserve">tzn. </w:t>
      </w:r>
      <w:r w:rsidR="00F875D9" w:rsidRPr="0088556D">
        <w:t>vytápění</w:t>
      </w:r>
      <w:r w:rsidR="00F875D9">
        <w:t>, zdravotechnika, elektroinstalace,  SLP, atd.</w:t>
      </w:r>
    </w:p>
    <w:p w:rsidR="002F329A" w:rsidRPr="0088556D" w:rsidRDefault="002F329A" w:rsidP="0088556D">
      <w:pPr>
        <w:pStyle w:val="Odstavecseseznamem"/>
        <w:ind w:left="1211"/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výčet a závěry provedených průzkumů a rozborů - geologický průzkum, hydrogeologický průzkum, stavebně historický průzkum apod., </w:t>
      </w:r>
    </w:p>
    <w:p w:rsidR="00F875D9" w:rsidRPr="00013489" w:rsidRDefault="00F875D9" w:rsidP="00013489">
      <w:pPr>
        <w:pStyle w:val="Odstavecseseznamem"/>
        <w:ind w:left="1211"/>
      </w:pPr>
      <w:proofErr w:type="spellStart"/>
      <w:r w:rsidRPr="00013489">
        <w:t>Inženýrsko</w:t>
      </w:r>
      <w:proofErr w:type="spellEnd"/>
      <w:r w:rsidRPr="00013489">
        <w:t xml:space="preserve"> geologický průzkum</w:t>
      </w:r>
    </w:p>
    <w:p w:rsidR="00F875D9" w:rsidRPr="00C8486E" w:rsidRDefault="00F875D9" w:rsidP="00013489">
      <w:pPr>
        <w:pStyle w:val="Odstavecseseznamem"/>
        <w:ind w:left="1211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V rámci IG a HG průzkumu byly realizovány 4 HG vrty hloubek 5,0 - 7,0 m, 13 IG vrtů hloubek 3,0 – 5,0 m a 6 jádrových vrtů pro realizaci vsakovacích zkoušek. Dále byla provedena rešerše 18 archivních vrtů z databáze Geofondu ČGS.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Realizované i archivní sondy potvrdily přítomnost kvartérních sedimentů tvořených převážně ze štěrkopísků a povodňových hlín, neogenních, paleozoických a proterozoických sedimentů. Graficky jsou geologické poměry znázorněny v geologických řezech (příloha 2). </w:t>
      </w:r>
    </w:p>
    <w:p w:rsidR="00F875D9" w:rsidRPr="00013489" w:rsidRDefault="00F875D9" w:rsidP="00013489">
      <w:pPr>
        <w:pStyle w:val="Odstavecseseznamem"/>
        <w:ind w:left="1211"/>
      </w:pPr>
      <w:r w:rsidRPr="00013489">
        <w:lastRenderedPageBreak/>
        <w:t xml:space="preserve">V realizovaných a archivních sondách byl většinou zastižen následující sled zemin: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Navážka (GT 0) do hloubek 0,8 – 2,4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jílovité sedimenty (GT 1) do hloubek 1,8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</w:t>
      </w:r>
      <w:proofErr w:type="spellStart"/>
      <w:r w:rsidRPr="00013489">
        <w:t>písčito</w:t>
      </w:r>
      <w:proofErr w:type="spellEnd"/>
      <w:r w:rsidRPr="00013489">
        <w:t xml:space="preserve">-štěrkovité sedimenty (GT 2) do hloubek 4,0 – 4,8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Neogenní sedimenty (GT 3) s ověřenou hloubkou 2,5 - 5,0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Paleozoické slepence a arkózy (GT 4) v hloubce 2,8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Proterozoické granodiority a diority (GT 5) – hloubka 2,5 – 5,0 m.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Hladina podzemní vody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byla naražena v rozmezí hloubek 1,5 – 6,1 m pod terénem (198,06 - 204,46 m </w:t>
      </w:r>
      <w:proofErr w:type="gramStart"/>
      <w:r w:rsidRPr="00013489">
        <w:t>n.m.</w:t>
      </w:r>
      <w:proofErr w:type="gramEnd"/>
      <w:r w:rsidRPr="00013489">
        <w:t xml:space="preserve">) a ustálila se v hloubkách od 1,3 - 5,8 m (198,36 - 204,66 m n.m.). Jednalo se o volnou až mírně napjatou hladinu podzemní vody. V archivních vrtech byla hladina podzemní vody naražena v rozmezí od 3,60 do 6,00 m, ustálená hladina podzemní vody byla dokumentována v hloubkách od 1,80 do 3,40 m. </w:t>
      </w:r>
    </w:p>
    <w:p w:rsidR="00F875D9" w:rsidRPr="009E703C" w:rsidRDefault="00F875D9" w:rsidP="00013489">
      <w:pPr>
        <w:pStyle w:val="Odstavecseseznamem"/>
        <w:ind w:left="1211"/>
      </w:pPr>
      <w:r w:rsidRPr="00013489">
        <w:t>P</w:t>
      </w:r>
      <w:r w:rsidRPr="00013489">
        <w:rPr>
          <w:rFonts w:hint="eastAsia"/>
        </w:rPr>
        <w:t>ř</w:t>
      </w:r>
      <w:r w:rsidRPr="00013489">
        <w:t>i</w:t>
      </w:r>
      <w:r w:rsidRPr="009E703C">
        <w:t xml:space="preserve"> provádění zemních prací, resp. vrtání pilot a pažících konstrukcí, bude pr</w:t>
      </w:r>
      <w:r w:rsidRPr="009E703C">
        <w:rPr>
          <w:rFonts w:hint="eastAsia"/>
        </w:rPr>
        <w:t>ů</w:t>
      </w:r>
      <w:r w:rsidRPr="009E703C">
        <w:t>b</w:t>
      </w:r>
      <w:r w:rsidRPr="009E703C">
        <w:rPr>
          <w:rFonts w:hint="eastAsia"/>
        </w:rPr>
        <w:t>ě</w:t>
      </w:r>
      <w:r w:rsidRPr="009E703C">
        <w:t>žn</w:t>
      </w:r>
      <w:r w:rsidRPr="009E703C">
        <w:rPr>
          <w:rFonts w:hint="eastAsia"/>
        </w:rPr>
        <w:t>ě</w:t>
      </w:r>
      <w:r w:rsidRPr="009E703C">
        <w:t xml:space="preserve"> sledován geologický profil a porovnáván s výše uvedenými p</w:t>
      </w:r>
      <w:r w:rsidRPr="009E703C">
        <w:rPr>
          <w:rFonts w:hint="eastAsia"/>
        </w:rPr>
        <w:t>ř</w:t>
      </w:r>
      <w:r w:rsidRPr="009E703C">
        <w:t>edpoklady.</w:t>
      </w:r>
    </w:p>
    <w:p w:rsidR="00F875D9" w:rsidRPr="00013489" w:rsidRDefault="00F875D9" w:rsidP="00013489">
      <w:pPr>
        <w:pStyle w:val="Odstavecseseznamem"/>
        <w:ind w:left="1211"/>
      </w:pPr>
      <w:r w:rsidRPr="00013489">
        <w:t>Radonový průzkum</w:t>
      </w:r>
    </w:p>
    <w:p w:rsidR="00F875D9" w:rsidRPr="009E703C" w:rsidRDefault="00F875D9" w:rsidP="00013489">
      <w:pPr>
        <w:pStyle w:val="Odstavecseseznamem"/>
        <w:ind w:left="1211"/>
      </w:pPr>
      <w:r w:rsidRPr="009E703C">
        <w:t xml:space="preserve">Radonový průzkum provedla firma GEOTOP v 04/2020. </w:t>
      </w:r>
    </w:p>
    <w:p w:rsidR="00F875D9" w:rsidRDefault="00F875D9" w:rsidP="00F875D9">
      <w:pPr>
        <w:pStyle w:val="Odstavecseseznamem"/>
        <w:ind w:left="1211"/>
      </w:pPr>
      <w:r w:rsidRPr="009E703C">
        <w:t>Na staveništi byl stanoven střední radonový index pozemku</w:t>
      </w:r>
    </w:p>
    <w:p w:rsidR="002F329A" w:rsidRPr="00671734" w:rsidRDefault="002F329A" w:rsidP="00F875D9">
      <w:pPr>
        <w:pStyle w:val="Odstavecseseznamem"/>
        <w:ind w:left="1211"/>
        <w:rPr>
          <w:b/>
        </w:rPr>
      </w:pPr>
    </w:p>
    <w:p w:rsidR="00772CA5" w:rsidRDefault="00F10CDA" w:rsidP="00772CA5">
      <w:pPr>
        <w:pStyle w:val="Odstavecseseznamem"/>
        <w:rPr>
          <w:b/>
        </w:rPr>
      </w:pPr>
      <w:r>
        <w:rPr>
          <w:b/>
        </w:rPr>
        <w:t>g</w:t>
      </w:r>
      <w:r w:rsidR="00772CA5" w:rsidRPr="00671734">
        <w:rPr>
          <w:b/>
        </w:rPr>
        <w:t xml:space="preserve">) </w:t>
      </w:r>
      <w:r>
        <w:rPr>
          <w:b/>
        </w:rPr>
        <w:tab/>
      </w:r>
      <w:r w:rsidR="00772CA5" w:rsidRPr="00671734">
        <w:rPr>
          <w:b/>
        </w:rPr>
        <w:t xml:space="preserve">ochrana území podle jiných právních předpisů1 ), </w:t>
      </w:r>
    </w:p>
    <w:p w:rsidR="00F875D9" w:rsidRPr="00751147" w:rsidRDefault="00F875D9" w:rsidP="00013489">
      <w:pPr>
        <w:pStyle w:val="Odstavecseseznamem"/>
        <w:ind w:left="1211"/>
      </w:pPr>
      <w:r w:rsidRPr="00013489">
        <w:t xml:space="preserve">Území leží v ochranném pásmu MPR Brno. </w:t>
      </w:r>
      <w:r w:rsidRPr="00751147">
        <w:t>Ochranná pásma inženýrských objektů jsou respektována.</w:t>
      </w:r>
    </w:p>
    <w:p w:rsidR="00F875D9" w:rsidRPr="00671734" w:rsidRDefault="00F875D9" w:rsidP="00772CA5">
      <w:pPr>
        <w:pStyle w:val="Odstavecseseznamem"/>
        <w:rPr>
          <w:b/>
        </w:rPr>
      </w:pPr>
    </w:p>
    <w:p w:rsidR="00772CA5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poloha vzhledem k záplavovému území, poddolovanému území apod.,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Stavba se nenachází v záplavovém ani poddolovaném území.</w:t>
      </w:r>
    </w:p>
    <w:p w:rsidR="00F875D9" w:rsidRPr="00671734" w:rsidRDefault="00F875D9" w:rsidP="00F875D9">
      <w:pPr>
        <w:pStyle w:val="Odstavecseseznamem"/>
        <w:ind w:left="1211"/>
        <w:rPr>
          <w:b/>
        </w:rPr>
      </w:pPr>
    </w:p>
    <w:p w:rsidR="00671734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vliv stavby na okolní stavby a pozemky, ochrana okolí, vliv stavby na odtokové poměry v území,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 xml:space="preserve">Stavba neovlivní okolní stavby a pozemky a nebude mít zásadní vliv na životní prostředí tak, aby bylo třeba zvláštních opatření.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Na objekt</w:t>
      </w:r>
      <w:r>
        <w:t>ech</w:t>
      </w:r>
      <w:r w:rsidRPr="00751147">
        <w:t xml:space="preserve"> jsou navrženy zelené střechy s </w:t>
      </w:r>
      <w:r w:rsidRPr="00F875D9">
        <w:rPr>
          <w:rStyle w:val="ZkladntextChar1"/>
          <w:rFonts w:ascii="Gotham Book" w:hAnsi="Gotham Book"/>
          <w:color w:val="000000"/>
        </w:rPr>
        <w:t xml:space="preserve">vysokou retenční schopností, přebytečné vody jsou sváděny do retenční a akumulační nádrže, do kanalizace jsou odváděny řízeně s nastaveným max. povoleným odtokem. </w:t>
      </w:r>
      <w:r w:rsidRPr="00751147">
        <w:t>Vzhledem ke stávajícímu stavu (velké zpevněné plochy s přímým odtokem) dojde ke zlepšení odtokových poměrů z území.</w:t>
      </w:r>
    </w:p>
    <w:p w:rsidR="00F875D9" w:rsidRDefault="00F875D9" w:rsidP="00F875D9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asanace, demolice, kácení dřevin, </w:t>
      </w:r>
      <w:r w:rsidR="00195E1B">
        <w:rPr>
          <w:b/>
        </w:rPr>
        <w:t xml:space="preserve"> </w:t>
      </w:r>
    </w:p>
    <w:p w:rsidR="00B20EFE" w:rsidRDefault="00B20EFE" w:rsidP="00B20EFE">
      <w:pPr>
        <w:pStyle w:val="Odstavecseseznamem"/>
        <w:ind w:left="1211"/>
      </w:pPr>
      <w:r w:rsidRPr="00021B9E">
        <w:t>V rámci přípravy území dojde v prostorách budoucí spedice a odpadového hospodářství k demolici likusového</w:t>
      </w:r>
      <w:r w:rsidRPr="009E703C">
        <w:t xml:space="preserve"> ob</w:t>
      </w:r>
      <w:r>
        <w:t>jektu SO33 (samostatné řízení</w:t>
      </w:r>
      <w:r w:rsidR="00C736E5">
        <w:t xml:space="preserve"> </w:t>
      </w:r>
      <w:r w:rsidR="000E148A">
        <w:t>MCBS/2020/0110794/KOMA</w:t>
      </w:r>
      <w:r>
        <w:t>) a rozebrání zpevněné plochy mezi odstraňovaným objektem SO33 a sousedním objektem dílen H088 BVV. Zpevněné plochy mají výměru cca 5000m2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lastRenderedPageBreak/>
        <w:t>V souvislosti s budováním spedice bude skáceno celkem 33 ks stromů. Jedná se převážně o vysazené dřeviny dle projektu, část stromů je náletového původu.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t>Stromy č. 1-7 byly vysazeny do zpevněné plochy, ostatní dřeviny rostou v nezpevněné zatravněné nebo ruderální ploše. Fyziologicky se jednáno mladé aklimatizované jedince (č. 1-7) a dospívající nebo dospělé stromy. Inventarizace zeleně je součástí dokladové části projektu.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maximální dočasné a trvalé zábory zemědělského půdního fondu nebo pozemků určených k plnění funkce lesa, </w:t>
      </w:r>
    </w:p>
    <w:p w:rsidR="00B20EFE" w:rsidRPr="009E703C" w:rsidRDefault="00B20EFE" w:rsidP="00B20EFE">
      <w:pPr>
        <w:pStyle w:val="Odstavecseseznamem"/>
        <w:ind w:left="1211"/>
      </w:pPr>
      <w:r w:rsidRPr="009E703C">
        <w:t>Pozemky dotčené stavbou nejsou vedeny jako součást zemědělského půdního fondu ani určeny k plnění funkce lesa.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671734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územně technické podmínky - zejména možnost napojení na stávající dopravní a technickou infrastrukturu, možnost bezbariérového přístupu k navrhované stavbě,</w:t>
      </w:r>
    </w:p>
    <w:p w:rsidR="00B20EFE" w:rsidRPr="009E703C" w:rsidRDefault="00B20EFE" w:rsidP="00B20EFE">
      <w:pPr>
        <w:pStyle w:val="Odstavecseseznamem"/>
        <w:ind w:left="1211"/>
      </w:pPr>
      <w:r w:rsidRPr="009E703C">
        <w:t>Stavba bude napojena na stávající</w:t>
      </w:r>
      <w:r>
        <w:t xml:space="preserve"> areálovou</w:t>
      </w:r>
      <w:r w:rsidRPr="009E703C">
        <w:t xml:space="preserve"> technickou a dopravní </w:t>
      </w:r>
      <w:proofErr w:type="gramStart"/>
      <w:r w:rsidRPr="009E703C">
        <w:t>infrastrukturu..</w:t>
      </w:r>
      <w:proofErr w:type="gramEnd"/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Dopravní napojení</w:t>
      </w:r>
    </w:p>
    <w:p w:rsidR="00B20EFE" w:rsidRPr="006B1C00" w:rsidRDefault="00B20EFE" w:rsidP="00B20EFE">
      <w:pPr>
        <w:pStyle w:val="Odstavecseseznamem"/>
        <w:ind w:left="1211"/>
      </w:pPr>
      <w:r w:rsidRPr="006B1C00">
        <w:t>Areál je napojen stávajícím sjezdem na ulici Bauerova. Severojižní komunikace před všemi branami i spedicí navazuje na ulici Bauerovu, po úpravě VMO bude přes kruhový objezd napojena na prodloužení ulice Křížkovského.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F61F0A">
        <w:t xml:space="preserve">Nově je vybudováno </w:t>
      </w:r>
      <w:r w:rsidRPr="00B20EFE">
        <w:rPr>
          <w:rStyle w:val="ZkladntextChar1"/>
          <w:rFonts w:ascii="Gotham Book" w:hAnsi="Gotham Book"/>
          <w:color w:val="000000"/>
          <w:shd w:val="clear" w:color="auto" w:fill="auto"/>
        </w:rPr>
        <w:t xml:space="preserve">20 venkovních stání pro osobní automobily a </w:t>
      </w:r>
      <w:r w:rsidRPr="00B20EFE">
        <w:rPr>
          <w:rStyle w:val="ZkladntextChar1"/>
          <w:rFonts w:ascii="Gotham Book" w:hAnsi="Gotham Book"/>
          <w:color w:val="000000"/>
        </w:rPr>
        <w:t>17 stání pro kamiony a 4 stání pro nákladní automobily.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Elektro</w:t>
      </w:r>
    </w:p>
    <w:p w:rsidR="00C84FCC" w:rsidRDefault="00B20EFE" w:rsidP="00B20EFE">
      <w:pPr>
        <w:pStyle w:val="Odstavecseseznamem"/>
        <w:ind w:left="1211"/>
      </w:pPr>
      <w:r w:rsidRPr="00DC1DF4">
        <w:t>Napojení bude provedeno na stávající vedení areálových rozvodů. V rámci areálu, je proveden kabelový rozvod pomocí kabeláže AYKY 4x240. Stávající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Voda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 xml:space="preserve">Potřebné množství vody pro navrhované objekty budou zajišťovat nová vodovodní napojení na stávající areálové rozvody. </w:t>
      </w:r>
      <w:r w:rsidRPr="00013489">
        <w:rPr>
          <w:rFonts w:eastAsia="Calibri" w:cs="Times New Roman"/>
        </w:rPr>
        <w:t>Navržený materiál vodovodu je HDPE100 SDR11. Stávající</w:t>
      </w:r>
      <w:r w:rsidRPr="00F6529C">
        <w:t xml:space="preserve"> i nové areálové rozvody jsou zakresleny ve výkresové</w:t>
      </w:r>
      <w:r w:rsidRPr="00DC1DF4">
        <w:t xml:space="preserve"> dokumentaci.</w:t>
      </w:r>
      <w:r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Plyn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>Nově budovaný areálový rozvod bude napojen na stávající areálový rozvod STL plynovodu a bude řešen jako STL plynovod. Uvažuje se s materiálem PE</w:t>
      </w:r>
      <w:r w:rsidR="00120D77">
        <w:rPr>
          <w:rFonts w:eastAsia="Calibri" w:cs="Times New Roman"/>
        </w:rPr>
        <w:t xml:space="preserve">. </w:t>
      </w:r>
      <w:r w:rsidRPr="00B20EFE">
        <w:rPr>
          <w:rFonts w:eastAsia="Calibri" w:cs="Times New Roman"/>
        </w:rPr>
        <w:t>Stávající</w:t>
      </w:r>
      <w:r w:rsidRPr="00DC1DF4">
        <w:t xml:space="preserve">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Kanalizace</w:t>
      </w:r>
    </w:p>
    <w:p w:rsidR="00B20EFE" w:rsidRPr="007C7C41" w:rsidRDefault="00B20EFE" w:rsidP="00B20EFE">
      <w:pPr>
        <w:pStyle w:val="Odstavecseseznamem"/>
        <w:ind w:left="1211"/>
      </w:pPr>
      <w:r w:rsidRPr="007C7C41">
        <w:t>Nově budovaná areálová kanalizace bude napojena na stávající areálovou jednotnou kanalizaci, případně na nově budovanou jednotnou kanalizační přípojku D204.01.</w:t>
      </w:r>
    </w:p>
    <w:p w:rsidR="00C84FCC" w:rsidRDefault="00B20EFE" w:rsidP="00B20EFE">
      <w:pPr>
        <w:pStyle w:val="Odstavecseseznamem"/>
        <w:ind w:left="1211"/>
      </w:pPr>
      <w:r w:rsidRPr="007C7C41">
        <w:t>Všechny nově budované objekty mají zelené střechy s vysokou retenční schopností, u každého objektu je</w:t>
      </w:r>
      <w:r>
        <w:t xml:space="preserve"> navíc</w:t>
      </w:r>
      <w:r w:rsidRPr="007C7C41">
        <w:t xml:space="preserve"> vybudována podzemní retenční nádrž.</w:t>
      </w:r>
      <w:r w:rsidRPr="00F6529C">
        <w:t xml:space="preserve"> Stávající i nové areálové rozvody jsou zakresleny ve výkresové</w:t>
      </w:r>
      <w:r w:rsidRPr="00DC1DF4">
        <w:t xml:space="preserve"> dokumentaci</w:t>
      </w:r>
    </w:p>
    <w:p w:rsidR="00B20EFE" w:rsidRPr="00677F94" w:rsidRDefault="00B20EFE" w:rsidP="00B20EFE">
      <w:pPr>
        <w:pStyle w:val="Odstavecseseznamem"/>
        <w:ind w:left="1211"/>
      </w:pPr>
      <w:r>
        <w:t>Bezbariérový přístup k navrhovaným stavbám je zajištěn</w:t>
      </w:r>
      <w:r w:rsidRPr="00677F94">
        <w:t>.</w:t>
      </w:r>
    </w:p>
    <w:p w:rsidR="00B20EFE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věcné a časové vazby stavby, podmiňující, vyvolané, související investice, 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lastRenderedPageBreak/>
        <w:t>Zahájení výstavby</w:t>
      </w:r>
      <w:r w:rsidRPr="009E703C">
        <w:tab/>
      </w:r>
      <w:proofErr w:type="spellStart"/>
      <w:r w:rsidRPr="009E703C">
        <w:t>lI</w:t>
      </w:r>
      <w:proofErr w:type="spellEnd"/>
      <w:r w:rsidRPr="009E703C">
        <w:t>/2021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Ukončení výstavby</w:t>
      </w:r>
      <w:r w:rsidRPr="009E703C">
        <w:tab/>
      </w:r>
      <w:proofErr w:type="spellStart"/>
      <w:r w:rsidRPr="009E703C">
        <w:t>lI</w:t>
      </w:r>
      <w:proofErr w:type="spellEnd"/>
      <w:r w:rsidRPr="009E703C">
        <w:t>/2022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Předpokládaná doba výstavby</w:t>
      </w:r>
      <w:r w:rsidRPr="009E703C">
        <w:tab/>
        <w:t>12 měsíců</w:t>
      </w:r>
    </w:p>
    <w:p w:rsidR="00B20EFE" w:rsidRDefault="00B20EFE" w:rsidP="00B20EFE">
      <w:pPr>
        <w:pStyle w:val="Odstavecseseznamem"/>
        <w:ind w:left="1211"/>
      </w:pPr>
      <w:r w:rsidRPr="009E703C">
        <w:t xml:space="preserve">Podmiňující investicí je demolice likusového objektu SO33 (samostatné řízení). Vyvolanou investicí je přeložka areálového vodovodu pod novou branou </w:t>
      </w:r>
      <w:proofErr w:type="gramStart"/>
      <w:r w:rsidRPr="009E703C">
        <w:t>č.7, související</w:t>
      </w:r>
      <w:proofErr w:type="gramEnd"/>
      <w:r w:rsidRPr="009E703C">
        <w:t xml:space="preserve"> investicí je výstavba multifunkčního sportovně-kulturního pavilonu.</w:t>
      </w:r>
    </w:p>
    <w:p w:rsidR="00B20EFE" w:rsidRPr="00B20EFE" w:rsidRDefault="00B20EFE" w:rsidP="00B20EFE">
      <w:pPr>
        <w:rPr>
          <w:b/>
        </w:rPr>
      </w:pPr>
    </w:p>
    <w:p w:rsidR="000E148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seznam pozemků podle katastru nemovitostí, na kterých se stavba umísťuje a provádí,</w:t>
      </w:r>
    </w:p>
    <w:tbl>
      <w:tblPr>
        <w:tblW w:w="8221" w:type="dxa"/>
        <w:tblInd w:w="95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03"/>
      </w:tblGrid>
      <w:tr w:rsidR="002709F3" w:rsidRPr="005A184A" w:rsidTr="00122191">
        <w:trPr>
          <w:trHeight w:val="283"/>
        </w:trPr>
        <w:tc>
          <w:tcPr>
            <w:tcW w:w="1418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Parcela č.</w:t>
            </w:r>
          </w:p>
        </w:tc>
        <w:tc>
          <w:tcPr>
            <w:tcW w:w="6803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Vlastník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24/76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24/79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151/17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a.s)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DB7348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</w:tbl>
    <w:p w:rsidR="00633B52" w:rsidRDefault="00633B52" w:rsidP="00633B52"/>
    <w:p w:rsidR="000E148A" w:rsidRPr="000E148A" w:rsidRDefault="000E148A" w:rsidP="00633B52">
      <w:r w:rsidRPr="000E148A">
        <w:t>DLE STAVEB:</w:t>
      </w:r>
    </w:p>
    <w:p w:rsidR="000E148A" w:rsidRDefault="000E148A" w:rsidP="000E148A">
      <w:pPr>
        <w:rPr>
          <w:rFonts w:ascii="Calibri" w:hAnsi="Calibri"/>
        </w:rPr>
      </w:pPr>
      <w:r>
        <w:rPr>
          <w:b/>
          <w:bCs/>
        </w:rPr>
        <w:t>D 101 - BRÁNA č.9 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rPr>
          <w:b/>
          <w:bCs/>
        </w:rPr>
        <w:t>D 102 - BRÁNA č.8  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rPr>
          <w:b/>
          <w:bCs/>
        </w:rPr>
        <w:t>D 103 - BRÁNA č.7 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t>                                         </w:t>
      </w:r>
      <w:r w:rsidR="00633B52">
        <w:t xml:space="preserve">-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24/76</w:t>
      </w:r>
    </w:p>
    <w:p w:rsidR="000E148A" w:rsidRDefault="000E148A" w:rsidP="00633B52">
      <w:pPr>
        <w:ind w:left="2989" w:firstLine="556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24/77</w:t>
      </w:r>
    </w:p>
    <w:p w:rsidR="000E148A" w:rsidRDefault="000E148A" w:rsidP="000E148A">
      <w:r>
        <w:lastRenderedPageBreak/>
        <w:t>               </w:t>
      </w:r>
      <w:r w:rsidR="00633B52">
        <w:t>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154/2</w:t>
      </w:r>
    </w:p>
    <w:p w:rsidR="000E148A" w:rsidRDefault="000E148A" w:rsidP="000E148A">
      <w:r>
        <w:t>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154/3</w:t>
      </w:r>
    </w:p>
    <w:p w:rsidR="000E148A" w:rsidRDefault="000E148A" w:rsidP="000E148A">
      <w:r>
        <w:t>                         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154/4</w:t>
      </w:r>
    </w:p>
    <w:p w:rsidR="000E148A" w:rsidRDefault="000E148A" w:rsidP="000E148A">
      <w:r>
        <w:t>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151/17</w:t>
      </w:r>
    </w:p>
    <w:p w:rsidR="000E148A" w:rsidRDefault="000E148A" w:rsidP="000E148A">
      <w:r>
        <w:rPr>
          <w:b/>
          <w:bCs/>
        </w:rPr>
        <w:t>D 104 - SPEDICE      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150/2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150/3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153/1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154/1</w:t>
      </w:r>
    </w:p>
    <w:p w:rsidR="000E148A" w:rsidRDefault="000E148A" w:rsidP="000E148A">
      <w:r>
        <w:t> 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124/7</w:t>
      </w:r>
    </w:p>
    <w:p w:rsidR="000E148A" w:rsidRDefault="000E148A" w:rsidP="000E148A">
      <w:r>
        <w:rPr>
          <w:b/>
          <w:bCs/>
        </w:rPr>
        <w:t>D 105 - SKL. SPEDICE 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0E148A" w:rsidRDefault="000E148A" w:rsidP="000E148A">
      <w:r>
        <w:t>                             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124/8</w:t>
      </w:r>
    </w:p>
    <w:p w:rsidR="000E148A" w:rsidRDefault="000E148A" w:rsidP="000E148A">
      <w:r>
        <w:rPr>
          <w:b/>
          <w:bCs/>
        </w:rPr>
        <w:t>D 106 - ODPAD. HOSP.  </w:t>
      </w:r>
      <w:r>
        <w:t xml:space="preserve">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2709F3" w:rsidRPr="00671734" w:rsidRDefault="002709F3" w:rsidP="002709F3">
      <w:pPr>
        <w:pStyle w:val="Odstavecseseznamem"/>
        <w:ind w:left="1211"/>
        <w:rPr>
          <w:b/>
        </w:rPr>
      </w:pPr>
    </w:p>
    <w:p w:rsidR="00772CA5" w:rsidRPr="00671734" w:rsidRDefault="007F3166" w:rsidP="00772CA5">
      <w:pPr>
        <w:pStyle w:val="Odstavecseseznamem"/>
        <w:rPr>
          <w:b/>
        </w:rPr>
      </w:pPr>
      <w:r>
        <w:rPr>
          <w:b/>
        </w:rPr>
        <w:t>o</w:t>
      </w:r>
      <w:r w:rsidR="00772CA5" w:rsidRPr="00671734">
        <w:rPr>
          <w:b/>
        </w:rPr>
        <w:t xml:space="preserve">) seznam pozemků podle katastru nemovitostí, na kterých vznikne ochranné </w:t>
      </w:r>
      <w:r w:rsidR="00772CA5" w:rsidRPr="00633B52">
        <w:rPr>
          <w:b/>
        </w:rPr>
        <w:t>nebo bezpečnostní pásmo</w:t>
      </w:r>
    </w:p>
    <w:p w:rsidR="000E148A" w:rsidRPr="000E148A" w:rsidRDefault="000E148A" w:rsidP="000E148A">
      <w:pPr>
        <w:rPr>
          <w:rFonts w:ascii="Arial" w:hAnsi="Arial"/>
        </w:rPr>
      </w:pPr>
      <w:r w:rsidRPr="000E148A">
        <w:t>1, 2/2, 2/7, 16, 12/3,  24/1, 24/74,24/75, 24/76, 24/77, 24/78, 24/79, 24/80, 24/81, 86/32, 124/5, 124/7, 124/8, 124/10, 124/11, 150/1, 150/2, 150/3, 151/1,  151/17, 153/1, 153/2, 153/3, 153/4, 154/1, 154/2, 154/3, 154/4, 154/5, 156/1, 156/3</w:t>
      </w:r>
    </w:p>
    <w:p w:rsidR="00772CA5" w:rsidRPr="00772CA5" w:rsidRDefault="00772CA5" w:rsidP="00772CA5">
      <w:pPr>
        <w:ind w:left="567"/>
      </w:pPr>
    </w:p>
    <w:p w:rsidR="00CB611F" w:rsidRDefault="00CB611F" w:rsidP="009E7639">
      <w:pPr>
        <w:pStyle w:val="Odstavecseseznamem"/>
      </w:pPr>
    </w:p>
    <w:p w:rsidR="00671734" w:rsidRPr="00671734" w:rsidRDefault="009E7639" w:rsidP="00671734">
      <w:pPr>
        <w:pStyle w:val="Nadpis2"/>
        <w:rPr>
          <w:rFonts w:cstheme="minorBidi"/>
          <w:shd w:val="clear" w:color="auto" w:fill="FFFFFF"/>
        </w:rPr>
      </w:pPr>
      <w:r w:rsidRPr="00DC1DF4">
        <w:t>Celkový popis stavby</w:t>
      </w:r>
    </w:p>
    <w:p w:rsidR="00671734" w:rsidRDefault="00671734" w:rsidP="00671734">
      <w:pPr>
        <w:pStyle w:val="Odstavecseseznamem"/>
      </w:pPr>
    </w:p>
    <w:p w:rsidR="00671734" w:rsidRDefault="00671734" w:rsidP="00F10CDA">
      <w:pPr>
        <w:pStyle w:val="Nadpis5"/>
        <w:numPr>
          <w:ilvl w:val="0"/>
          <w:numId w:val="15"/>
        </w:numPr>
      </w:pPr>
      <w:r>
        <w:t>Nová stavba nebo změna dokončené stavby</w:t>
      </w:r>
    </w:p>
    <w:p w:rsidR="00A57100" w:rsidRDefault="00A57100" w:rsidP="00A57100">
      <w:pPr>
        <w:rPr>
          <w:rStyle w:val="ZkladntextChar1"/>
          <w:color w:val="000000"/>
        </w:rPr>
      </w:pPr>
      <w:r w:rsidRPr="00804409">
        <w:rPr>
          <w:rStyle w:val="ZkladntextChar1"/>
          <w:color w:val="000000"/>
        </w:rPr>
        <w:t>Nová stavba.</w:t>
      </w:r>
    </w:p>
    <w:p w:rsidR="00F10CDA" w:rsidRPr="00804409" w:rsidRDefault="00F10CDA" w:rsidP="00A57100"/>
    <w:p w:rsidR="00671734" w:rsidRPr="005B00EE" w:rsidRDefault="00671734" w:rsidP="007F3166">
      <w:pPr>
        <w:pStyle w:val="Nadpis5"/>
        <w:numPr>
          <w:ilvl w:val="0"/>
          <w:numId w:val="16"/>
        </w:numPr>
      </w:pPr>
      <w:r w:rsidRPr="005B00EE">
        <w:t>Účel užívání stavby</w:t>
      </w:r>
    </w:p>
    <w:p w:rsidR="00A57100" w:rsidRPr="00F10CDA" w:rsidRDefault="00A57100" w:rsidP="00F10CDA">
      <w:r w:rsidRPr="00F10CDA">
        <w:t>Záměrem investora je vybudování nová vstupní a vjezdové zóny v západní části výstaviště včetně nového odpadového hospodářství a spedice. Vytvoření důstojného nástupu do areále ze západní strany ve vazbě na nové plochy kolem MFSKP.</w:t>
      </w: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Trvalá nebo dočasná stavba</w:t>
      </w:r>
    </w:p>
    <w:p w:rsidR="00A57100" w:rsidRDefault="00A57100" w:rsidP="00A57100">
      <w:pPr>
        <w:rPr>
          <w:rFonts w:cs="Arial"/>
        </w:rPr>
      </w:pPr>
      <w:r w:rsidRPr="00F10CDA">
        <w:rPr>
          <w:rFonts w:cs="Arial"/>
        </w:rPr>
        <w:t>Stavba trvalá.</w:t>
      </w:r>
    </w:p>
    <w:p w:rsidR="00F10CDA" w:rsidRPr="00F10CDA" w:rsidRDefault="00F10CDA" w:rsidP="00A57100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vydaných rozhodnutích o povolení výjimky z technických požadavků na stavby a technických požadavků zabezpečujících bezbariérové užívání s</w:t>
      </w:r>
      <w:r>
        <w:t>t</w:t>
      </w:r>
      <w:r w:rsidRPr="00287D3B">
        <w:t>avby</w:t>
      </w:r>
    </w:p>
    <w:p w:rsidR="00671734" w:rsidRDefault="00671734" w:rsidP="00671734">
      <w:pPr>
        <w:rPr>
          <w:rFonts w:cs="Arial"/>
        </w:rPr>
      </w:pPr>
      <w:r w:rsidRPr="00C178A6">
        <w:rPr>
          <w:rFonts w:cs="Arial"/>
        </w:rPr>
        <w:t>Na stavbu nebyly vydány žádné výjimky.</w:t>
      </w:r>
    </w:p>
    <w:p w:rsidR="00F10CDA" w:rsidRDefault="00F10CDA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tom, zda a v jakých částech dokumentace jsou zohledněny podmínky závazných stanovisek dotčených orgánů.</w:t>
      </w:r>
    </w:p>
    <w:p w:rsidR="00A57100" w:rsidRPr="0088556D" w:rsidRDefault="00A57100" w:rsidP="00A57100">
      <w:pPr>
        <w:pStyle w:val="Odstavecseseznamem"/>
        <w:ind w:left="1211"/>
      </w:pPr>
      <w:r w:rsidRPr="0088556D">
        <w:lastRenderedPageBreak/>
        <w:t>Podmínky závazných stanovisek do</w:t>
      </w:r>
      <w:r>
        <w:t xml:space="preserve">tčených orgánů jsou zohledněny jak v části </w:t>
      </w:r>
      <w:proofErr w:type="spellStart"/>
      <w:r>
        <w:t>architektonicjo</w:t>
      </w:r>
      <w:proofErr w:type="spellEnd"/>
      <w:r>
        <w:t xml:space="preserve"> - stavební, tak i v části profesí tzn. </w:t>
      </w:r>
      <w:r w:rsidRPr="0088556D">
        <w:t>vytápění</w:t>
      </w:r>
      <w:r>
        <w:t>, zdravotechnika, elektroinstalace,  SLP, atd.</w:t>
      </w:r>
    </w:p>
    <w:p w:rsidR="00671734" w:rsidRDefault="00671734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Ochrana stavby podle jiných právních předpisů</w:t>
      </w:r>
    </w:p>
    <w:p w:rsidR="00A57100" w:rsidRDefault="00A57100" w:rsidP="00A57100">
      <w:r w:rsidRPr="00751147">
        <w:rPr>
          <w:rStyle w:val="ZkladntextChar1"/>
          <w:rFonts w:ascii="Gotham Book" w:hAnsi="Gotham Book"/>
          <w:color w:val="000000"/>
        </w:rPr>
        <w:t xml:space="preserve">Území leží v ochranném pásmu MPR Brno. </w:t>
      </w:r>
      <w:r w:rsidRPr="00751147">
        <w:t>Ochranná pásma inženýrských objektů jsou respektována.</w:t>
      </w:r>
    </w:p>
    <w:p w:rsidR="00F10CDA" w:rsidRPr="00751147" w:rsidRDefault="00F10CDA" w:rsidP="00A57100"/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Navrhované parametry stavby</w:t>
      </w:r>
    </w:p>
    <w:p w:rsidR="00A57100" w:rsidRPr="006D302A" w:rsidRDefault="00A57100" w:rsidP="00A57100">
      <w:pPr>
        <w:ind w:left="3545"/>
      </w:pPr>
      <w:r w:rsidRPr="006D302A">
        <w:t>Zastavěná plocha</w:t>
      </w:r>
      <w:r>
        <w:t xml:space="preserve"> </w:t>
      </w:r>
      <w:r w:rsidRPr="006D302A">
        <w:t>(m2)</w:t>
      </w:r>
      <w:r w:rsidRPr="006D302A">
        <w:tab/>
      </w:r>
      <w:r>
        <w:t xml:space="preserve"> </w:t>
      </w:r>
      <w:r w:rsidRPr="006D302A">
        <w:t xml:space="preserve"> Obestavěný prostor</w:t>
      </w:r>
      <w:r>
        <w:t xml:space="preserve"> </w:t>
      </w:r>
      <w:r w:rsidRPr="006D302A">
        <w:t>(m3)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101 Brána 9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430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3200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385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2423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246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1450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="00E90B0A">
        <w:rPr>
          <w:rFonts w:cs="Arial"/>
          <w:szCs w:val="20"/>
        </w:rPr>
        <w:t>221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="00E90B0A">
        <w:rPr>
          <w:rFonts w:cs="Arial"/>
          <w:szCs w:val="20"/>
        </w:rPr>
        <w:t>972</w:t>
      </w:r>
      <w:r w:rsidRPr="006D302A">
        <w:rPr>
          <w:rFonts w:cs="Arial"/>
          <w:szCs w:val="20"/>
        </w:rPr>
        <w:t xml:space="preserve">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705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5400</w:t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6D302A">
        <w:rPr>
          <w:rFonts w:cs="Arial"/>
          <w:szCs w:val="20"/>
          <w:u w:val="single"/>
        </w:rPr>
        <w:t xml:space="preserve">SO 106 Odpadové hospodářství 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1250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8750</w:t>
      </w:r>
    </w:p>
    <w:p w:rsidR="00A57100" w:rsidRDefault="00A57100" w:rsidP="00A57100">
      <w:pPr>
        <w:rPr>
          <w:rStyle w:val="ZkladntextChar1"/>
          <w:b/>
          <w:color w:val="00000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="00E90B0A">
        <w:rPr>
          <w:rStyle w:val="ZkladntextChar1"/>
          <w:b/>
          <w:color w:val="000000"/>
        </w:rPr>
        <w:t xml:space="preserve"> </w:t>
      </w:r>
      <w:r w:rsidRPr="006D302A">
        <w:rPr>
          <w:rStyle w:val="ZkladntextChar1"/>
          <w:b/>
          <w:color w:val="000000"/>
        </w:rPr>
        <w:t>3</w:t>
      </w:r>
      <w:r w:rsidR="00E90B0A">
        <w:rPr>
          <w:rStyle w:val="ZkladntextChar1"/>
          <w:b/>
          <w:color w:val="000000"/>
        </w:rPr>
        <w:t>237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  <w:t>22</w:t>
      </w:r>
      <w:r w:rsidR="00D40877">
        <w:rPr>
          <w:rStyle w:val="ZkladntextChar1"/>
          <w:b/>
          <w:color w:val="000000"/>
        </w:rPr>
        <w:t> </w:t>
      </w:r>
      <w:r w:rsidR="00E90B0A">
        <w:rPr>
          <w:rStyle w:val="ZkladntextChar1"/>
          <w:b/>
          <w:color w:val="000000"/>
        </w:rPr>
        <w:t>195</w:t>
      </w:r>
    </w:p>
    <w:p w:rsidR="00D40877" w:rsidRPr="006D302A" w:rsidRDefault="00D40877" w:rsidP="00A57100">
      <w:pPr>
        <w:rPr>
          <w:rStyle w:val="ZkladntextChar1"/>
          <w:b/>
          <w:color w:val="000000"/>
        </w:rPr>
      </w:pPr>
    </w:p>
    <w:p w:rsidR="00671734" w:rsidRPr="009E3852" w:rsidRDefault="00671734" w:rsidP="007F3166">
      <w:pPr>
        <w:pStyle w:val="Nadpis5"/>
        <w:numPr>
          <w:ilvl w:val="0"/>
          <w:numId w:val="16"/>
        </w:numPr>
      </w:pPr>
      <w:r w:rsidRPr="009E3852">
        <w:t>Základní bilance stavby</w:t>
      </w:r>
    </w:p>
    <w:p w:rsidR="00A57100" w:rsidRDefault="00A57100" w:rsidP="00A57100">
      <w:pPr>
        <w:spacing w:before="0" w:after="0"/>
        <w:rPr>
          <w:sz w:val="18"/>
          <w:szCs w:val="18"/>
        </w:rPr>
      </w:pPr>
      <w:r w:rsidRPr="007D4CE5">
        <w:rPr>
          <w:sz w:val="18"/>
          <w:szCs w:val="18"/>
        </w:rPr>
        <w:t xml:space="preserve">SPOTŘEBA </w:t>
      </w:r>
      <w:proofErr w:type="gramStart"/>
      <w:r w:rsidRPr="007D4CE5">
        <w:rPr>
          <w:sz w:val="18"/>
          <w:szCs w:val="18"/>
        </w:rPr>
        <w:t xml:space="preserve">PLYNU  </w:t>
      </w:r>
      <w:r>
        <w:rPr>
          <w:sz w:val="18"/>
          <w:szCs w:val="18"/>
        </w:rPr>
        <w:t xml:space="preserve"> EL</w:t>
      </w:r>
      <w:proofErr w:type="gramEnd"/>
      <w:r>
        <w:rPr>
          <w:sz w:val="18"/>
          <w:szCs w:val="18"/>
        </w:rPr>
        <w:t xml:space="preserve">. </w:t>
      </w:r>
      <w:proofErr w:type="gramStart"/>
      <w:r w:rsidRPr="007D4CE5">
        <w:rPr>
          <w:sz w:val="18"/>
          <w:szCs w:val="18"/>
        </w:rPr>
        <w:t>ENERGIE</w:t>
      </w:r>
      <w:r>
        <w:rPr>
          <w:sz w:val="18"/>
          <w:szCs w:val="18"/>
        </w:rPr>
        <w:t xml:space="preserve">    ROČNÍ</w:t>
      </w:r>
      <w:proofErr w:type="gramEnd"/>
      <w:r>
        <w:rPr>
          <w:sz w:val="18"/>
          <w:szCs w:val="18"/>
        </w:rPr>
        <w:t xml:space="preserve"> POTŘ.    ROČNÍ POTŘ.  </w:t>
      </w:r>
    </w:p>
    <w:p w:rsidR="00A57100" w:rsidRPr="007D4CE5" w:rsidRDefault="00A57100" w:rsidP="00A57100">
      <w:pPr>
        <w:spacing w:before="0" w:after="0"/>
        <w:ind w:left="2269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 xml:space="preserve">Q (M3/HOD)   </w:t>
      </w:r>
      <w:r>
        <w:rPr>
          <w:sz w:val="18"/>
          <w:szCs w:val="18"/>
        </w:rPr>
        <w:t xml:space="preserve">           </w:t>
      </w:r>
      <w:proofErr w:type="spellStart"/>
      <w:r w:rsidRPr="007D4CE5">
        <w:rPr>
          <w:sz w:val="18"/>
          <w:szCs w:val="18"/>
        </w:rPr>
        <w:t>Ps</w:t>
      </w:r>
      <w:proofErr w:type="spellEnd"/>
      <w:r w:rsidRPr="007D4CE5">
        <w:rPr>
          <w:sz w:val="18"/>
          <w:szCs w:val="18"/>
        </w:rPr>
        <w:t>(</w:t>
      </w:r>
      <w:proofErr w:type="gramStart"/>
      <w:r w:rsidRPr="007D4CE5">
        <w:rPr>
          <w:sz w:val="18"/>
          <w:szCs w:val="18"/>
        </w:rPr>
        <w:t xml:space="preserve">kW)   </w:t>
      </w: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>VODY</w:t>
      </w:r>
      <w:proofErr w:type="gramEnd"/>
      <w:r w:rsidRPr="007D4CE5">
        <w:rPr>
          <w:sz w:val="18"/>
          <w:szCs w:val="18"/>
        </w:rPr>
        <w:t xml:space="preserve"> (M3)     </w:t>
      </w:r>
      <w:r>
        <w:rPr>
          <w:sz w:val="18"/>
          <w:szCs w:val="18"/>
        </w:rPr>
        <w:t xml:space="preserve">   ODP.</w:t>
      </w:r>
      <w:r w:rsidRPr="007D4CE5">
        <w:rPr>
          <w:sz w:val="18"/>
          <w:szCs w:val="18"/>
        </w:rPr>
        <w:t xml:space="preserve">VODY (M3)       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101 Brána 9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18,6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176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176</w:t>
      </w:r>
      <w:r w:rsidRPr="006D302A">
        <w:rPr>
          <w:rFonts w:cs="Arial"/>
          <w:szCs w:val="20"/>
        </w:rPr>
        <w:tab/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24,0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proofErr w:type="gramStart"/>
      <w:r>
        <w:rPr>
          <w:rFonts w:cs="Arial"/>
          <w:szCs w:val="20"/>
        </w:rPr>
        <w:t>viz.104</w:t>
      </w:r>
      <w:proofErr w:type="gramEnd"/>
      <w:r>
        <w:rPr>
          <w:rFonts w:cs="Arial"/>
          <w:szCs w:val="20"/>
        </w:rPr>
        <w:tab/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0</w:t>
      </w:r>
    </w:p>
    <w:p w:rsidR="00A57100" w:rsidRPr="007D4CE5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7D4CE5">
        <w:rPr>
          <w:rFonts w:cs="Arial"/>
          <w:szCs w:val="20"/>
          <w:u w:val="single"/>
        </w:rPr>
        <w:t xml:space="preserve">SO 106 Odpad. </w:t>
      </w:r>
      <w:proofErr w:type="gramStart"/>
      <w:r w:rsidRPr="007D4CE5">
        <w:rPr>
          <w:rFonts w:cs="Arial"/>
          <w:szCs w:val="20"/>
          <w:u w:val="single"/>
        </w:rPr>
        <w:t>hospod</w:t>
      </w:r>
      <w:proofErr w:type="gramEnd"/>
      <w:r w:rsidRPr="007D4CE5">
        <w:rPr>
          <w:rFonts w:cs="Arial"/>
          <w:szCs w:val="20"/>
          <w:u w:val="single"/>
        </w:rPr>
        <w:t xml:space="preserve">. </w:t>
      </w:r>
      <w:r w:rsidRPr="007D4CE5">
        <w:rPr>
          <w:rFonts w:cs="Arial"/>
          <w:szCs w:val="20"/>
          <w:u w:val="single"/>
        </w:rPr>
        <w:tab/>
        <w:t>3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23,0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</w:p>
    <w:p w:rsidR="00671734" w:rsidRDefault="00A57100" w:rsidP="00A57100">
      <w:pPr>
        <w:pStyle w:val="Odstavecseseznamem"/>
        <w:ind w:left="1211"/>
        <w:rPr>
          <w:rFonts w:cs="Arial"/>
          <w:b/>
          <w:szCs w:val="2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>
        <w:rPr>
          <w:rStyle w:val="ZkladntextChar1"/>
          <w:b/>
          <w:color w:val="000000"/>
        </w:rPr>
        <w:tab/>
      </w:r>
      <w:r w:rsidRPr="007D4CE5">
        <w:rPr>
          <w:rFonts w:cs="Arial"/>
          <w:b/>
          <w:szCs w:val="20"/>
        </w:rPr>
        <w:t>18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C0428C">
        <w:rPr>
          <w:rFonts w:cs="Arial"/>
          <w:b/>
          <w:szCs w:val="20"/>
        </w:rPr>
        <w:t>70,2</w:t>
      </w:r>
      <w:r w:rsidRPr="00C0428C">
        <w:rPr>
          <w:rFonts w:cs="Arial"/>
          <w:b/>
          <w:szCs w:val="20"/>
        </w:rPr>
        <w:tab/>
      </w:r>
      <w:r w:rsidRPr="00C0428C">
        <w:rPr>
          <w:rFonts w:cs="Arial"/>
          <w:b/>
          <w:szCs w:val="20"/>
        </w:rPr>
        <w:tab/>
        <w:t>1072</w:t>
      </w:r>
      <w:r w:rsidRPr="00C0428C">
        <w:rPr>
          <w:rFonts w:cs="Arial"/>
          <w:b/>
          <w:szCs w:val="20"/>
        </w:rPr>
        <w:tab/>
      </w:r>
      <w:r w:rsidRPr="00C0428C">
        <w:rPr>
          <w:rFonts w:cs="Arial"/>
          <w:b/>
          <w:szCs w:val="20"/>
        </w:rPr>
        <w:tab/>
        <w:t>1072</w:t>
      </w:r>
    </w:p>
    <w:p w:rsidR="00C84FCC" w:rsidRDefault="00C84FCC" w:rsidP="00A57100">
      <w:pPr>
        <w:pStyle w:val="Odstavecseseznamem"/>
        <w:ind w:left="1211"/>
        <w:rPr>
          <w:rFonts w:cs="Arial"/>
        </w:rPr>
      </w:pPr>
    </w:p>
    <w:p w:rsidR="00671734" w:rsidRPr="001532E9" w:rsidRDefault="00671734" w:rsidP="007F3166">
      <w:pPr>
        <w:pStyle w:val="Nadpis5"/>
        <w:numPr>
          <w:ilvl w:val="0"/>
          <w:numId w:val="16"/>
        </w:numPr>
      </w:pPr>
      <w:r w:rsidRPr="001532E9">
        <w:t>Základn</w:t>
      </w:r>
      <w:r w:rsidR="00A57100">
        <w:t>í</w:t>
      </w:r>
      <w:r w:rsidRPr="001532E9">
        <w:t xml:space="preserve"> předpoklady výstavby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 xml:space="preserve">Zahájení stavby: </w:t>
      </w:r>
      <w:r w:rsidR="00E90B0A">
        <w:rPr>
          <w:rFonts w:cs="Arial"/>
          <w:szCs w:val="20"/>
        </w:rPr>
        <w:t>02/</w:t>
      </w:r>
      <w:r w:rsidRPr="00C84FCC">
        <w:rPr>
          <w:rFonts w:cs="Arial"/>
          <w:szCs w:val="20"/>
        </w:rPr>
        <w:t>202</w:t>
      </w:r>
      <w:r w:rsidR="00E90B0A">
        <w:rPr>
          <w:rFonts w:cs="Arial"/>
          <w:szCs w:val="20"/>
        </w:rPr>
        <w:t>2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 xml:space="preserve">Ukončení stavby: </w:t>
      </w:r>
      <w:r w:rsidR="00E90B0A">
        <w:rPr>
          <w:rFonts w:cs="Arial"/>
          <w:szCs w:val="20"/>
        </w:rPr>
        <w:t>10/</w:t>
      </w:r>
      <w:r w:rsidRPr="00C84FCC">
        <w:rPr>
          <w:rFonts w:cs="Arial"/>
          <w:szCs w:val="20"/>
        </w:rPr>
        <w:t>2022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 xml:space="preserve">Předpokládaná doby výstavby: </w:t>
      </w:r>
      <w:r w:rsidR="00E90B0A">
        <w:rPr>
          <w:rFonts w:cs="Arial"/>
          <w:szCs w:val="20"/>
        </w:rPr>
        <w:t>8</w:t>
      </w:r>
      <w:r w:rsidRPr="00C84FCC">
        <w:rPr>
          <w:rFonts w:cs="Arial"/>
          <w:szCs w:val="20"/>
        </w:rPr>
        <w:t xml:space="preserve"> měsíců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Termíny zahájení a ukončení stavby stejně jako lh</w:t>
      </w:r>
      <w:r w:rsidR="00C84FCC">
        <w:rPr>
          <w:rFonts w:cs="Arial"/>
          <w:szCs w:val="20"/>
        </w:rPr>
        <w:t xml:space="preserve">ůta výstavby budou upřesněny na </w:t>
      </w:r>
      <w:r w:rsidRPr="00C84FCC">
        <w:rPr>
          <w:rFonts w:cs="Arial"/>
          <w:szCs w:val="20"/>
        </w:rPr>
        <w:t>základě výsledků zadávacího řízení zakázky na stavební práce.</w:t>
      </w:r>
    </w:p>
    <w:p w:rsidR="00671734" w:rsidRDefault="00671734" w:rsidP="00671734">
      <w:pPr>
        <w:tabs>
          <w:tab w:val="left" w:pos="4820"/>
        </w:tabs>
        <w:suppressAutoHyphens/>
      </w:pPr>
    </w:p>
    <w:p w:rsidR="007F3166" w:rsidRDefault="007F3166" w:rsidP="00671734">
      <w:pPr>
        <w:tabs>
          <w:tab w:val="left" w:pos="4820"/>
        </w:tabs>
        <w:suppressAutoHyphens/>
      </w:pPr>
    </w:p>
    <w:p w:rsidR="00C84FCC" w:rsidRDefault="00C84FCC" w:rsidP="00671734">
      <w:pPr>
        <w:tabs>
          <w:tab w:val="left" w:pos="4820"/>
        </w:tabs>
        <w:suppressAutoHyphens/>
      </w:pPr>
    </w:p>
    <w:p w:rsidR="00671734" w:rsidRDefault="00671734" w:rsidP="007F3166">
      <w:pPr>
        <w:pStyle w:val="Nadpis5"/>
        <w:numPr>
          <w:ilvl w:val="0"/>
          <w:numId w:val="16"/>
        </w:numPr>
      </w:pPr>
      <w:r>
        <w:t>Orientační náklady stavby</w:t>
      </w:r>
    </w:p>
    <w:p w:rsidR="00A57100" w:rsidRDefault="00A57100" w:rsidP="00A57100">
      <w:r w:rsidRPr="00DC4D04">
        <w:lastRenderedPageBreak/>
        <w:t xml:space="preserve">Celková výše investičních nákladů byla na základě propočtu nákladů odhadnuta na </w:t>
      </w:r>
      <w:r>
        <w:t>1</w:t>
      </w:r>
      <w:r w:rsidR="00E90B0A">
        <w:t>4</w:t>
      </w:r>
      <w:bookmarkStart w:id="1" w:name="_GoBack"/>
      <w:bookmarkEnd w:id="1"/>
      <w:r>
        <w:t>0</w:t>
      </w:r>
      <w:r w:rsidRPr="00DC4D04">
        <w:t xml:space="preserve"> mil. Kč bez DPH.</w:t>
      </w:r>
    </w:p>
    <w:p w:rsidR="000D1DA8" w:rsidRDefault="000D1DA8" w:rsidP="00A57100"/>
    <w:p w:rsidR="000D1DA8" w:rsidRDefault="000D1DA8" w:rsidP="00A57100"/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Vypracoval: Ing. arch. Pavel Bainar + specialisté</w:t>
      </w:r>
    </w:p>
    <w:p w:rsidR="000D1DA8" w:rsidRDefault="000D1DA8" w:rsidP="00A57100"/>
    <w:sectPr w:rsidR="000D1DA8" w:rsidSect="00346820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D8" w:rsidRDefault="006236D8" w:rsidP="00317B19">
      <w:pPr>
        <w:spacing w:before="0" w:after="0"/>
      </w:pPr>
      <w:r>
        <w:separator/>
      </w:r>
    </w:p>
  </w:endnote>
  <w:endnote w:type="continuationSeparator" w:id="0">
    <w:p w:rsidR="006236D8" w:rsidRDefault="006236D8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D8" w:rsidRDefault="006236D8" w:rsidP="005A0930">
    <w:pPr>
      <w:spacing w:before="0"/>
      <w:ind w:left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3A67E714" wp14:editId="3F18C827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B - 00 - 001 - 0</w:t>
    </w:r>
    <w:r w:rsidR="00E90B0A">
      <w:rPr>
        <w:color w:val="808080" w:themeColor="background1" w:themeShade="80"/>
        <w:sz w:val="18"/>
      </w:rPr>
      <w:t>0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B82584">
      <w:rPr>
        <w:rStyle w:val="slostrnky"/>
        <w:noProof/>
        <w:color w:val="808080" w:themeColor="background1" w:themeShade="80"/>
      </w:rPr>
      <w:t>9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B82584">
      <w:rPr>
        <w:noProof/>
        <w:color w:val="808080" w:themeColor="background1" w:themeShade="80"/>
      </w:rPr>
      <w:t>9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D8" w:rsidRDefault="006236D8" w:rsidP="00317B19">
      <w:pPr>
        <w:spacing w:before="0" w:after="0"/>
      </w:pPr>
      <w:r>
        <w:separator/>
      </w:r>
    </w:p>
  </w:footnote>
  <w:footnote w:type="continuationSeparator" w:id="0">
    <w:p w:rsidR="006236D8" w:rsidRDefault="006236D8" w:rsidP="00317B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A3F05"/>
    <w:multiLevelType w:val="hybridMultilevel"/>
    <w:tmpl w:val="AE2094F6"/>
    <w:lvl w:ilvl="0" w:tplc="5992CCC4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FC4992"/>
    <w:multiLevelType w:val="hybridMultilevel"/>
    <w:tmpl w:val="BBE0F820"/>
    <w:lvl w:ilvl="0" w:tplc="D4D804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74512D5"/>
    <w:multiLevelType w:val="multilevel"/>
    <w:tmpl w:val="8DEAE6F6"/>
    <w:lvl w:ilvl="0">
      <w:start w:val="2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9" w15:restartNumberingAfterBreak="0">
    <w:nsid w:val="45F61F7B"/>
    <w:multiLevelType w:val="hybridMultilevel"/>
    <w:tmpl w:val="A1584E3A"/>
    <w:lvl w:ilvl="0" w:tplc="A5FEA392">
      <w:start w:val="8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C6A25A5"/>
    <w:multiLevelType w:val="hybridMultilevel"/>
    <w:tmpl w:val="5C045F86"/>
    <w:lvl w:ilvl="0" w:tplc="C0203EE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10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7"/>
  </w:num>
  <w:num w:numId="13">
    <w:abstractNumId w:val="1"/>
  </w:num>
  <w:num w:numId="14">
    <w:abstractNumId w:val="9"/>
  </w:num>
  <w:num w:numId="15">
    <w:abstractNumId w:val="3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3231"/>
    <w:rsid w:val="00005F5A"/>
    <w:rsid w:val="00007263"/>
    <w:rsid w:val="00012038"/>
    <w:rsid w:val="00013489"/>
    <w:rsid w:val="00021B9E"/>
    <w:rsid w:val="00022C41"/>
    <w:rsid w:val="00024BCA"/>
    <w:rsid w:val="00032EDE"/>
    <w:rsid w:val="00041F8D"/>
    <w:rsid w:val="00042840"/>
    <w:rsid w:val="00043416"/>
    <w:rsid w:val="00046B39"/>
    <w:rsid w:val="000541DB"/>
    <w:rsid w:val="0006025F"/>
    <w:rsid w:val="000744B4"/>
    <w:rsid w:val="000778E5"/>
    <w:rsid w:val="00085BE0"/>
    <w:rsid w:val="000A384F"/>
    <w:rsid w:val="000B0654"/>
    <w:rsid w:val="000B69BC"/>
    <w:rsid w:val="000C5AFE"/>
    <w:rsid w:val="000D1DA8"/>
    <w:rsid w:val="000E093C"/>
    <w:rsid w:val="000E148A"/>
    <w:rsid w:val="000E3E97"/>
    <w:rsid w:val="000E7A01"/>
    <w:rsid w:val="000F3364"/>
    <w:rsid w:val="000F653B"/>
    <w:rsid w:val="001169D1"/>
    <w:rsid w:val="00120D77"/>
    <w:rsid w:val="00122191"/>
    <w:rsid w:val="00140018"/>
    <w:rsid w:val="00141045"/>
    <w:rsid w:val="001447AC"/>
    <w:rsid w:val="0016193D"/>
    <w:rsid w:val="00161E91"/>
    <w:rsid w:val="0016450D"/>
    <w:rsid w:val="00171A6E"/>
    <w:rsid w:val="00171C2B"/>
    <w:rsid w:val="0017423D"/>
    <w:rsid w:val="001855D8"/>
    <w:rsid w:val="00191114"/>
    <w:rsid w:val="00191FEF"/>
    <w:rsid w:val="00195E1B"/>
    <w:rsid w:val="00195F32"/>
    <w:rsid w:val="001970A9"/>
    <w:rsid w:val="001A2256"/>
    <w:rsid w:val="001A7557"/>
    <w:rsid w:val="001C243A"/>
    <w:rsid w:val="001C3659"/>
    <w:rsid w:val="001C4275"/>
    <w:rsid w:val="001C4DB9"/>
    <w:rsid w:val="001C7B03"/>
    <w:rsid w:val="001D1F50"/>
    <w:rsid w:val="001D5800"/>
    <w:rsid w:val="001E06CA"/>
    <w:rsid w:val="001E14A0"/>
    <w:rsid w:val="001F3B55"/>
    <w:rsid w:val="0020426A"/>
    <w:rsid w:val="0020734D"/>
    <w:rsid w:val="002121C0"/>
    <w:rsid w:val="002125FB"/>
    <w:rsid w:val="002238DA"/>
    <w:rsid w:val="002312FD"/>
    <w:rsid w:val="00244847"/>
    <w:rsid w:val="00247159"/>
    <w:rsid w:val="00263650"/>
    <w:rsid w:val="002669BE"/>
    <w:rsid w:val="00270880"/>
    <w:rsid w:val="002709F3"/>
    <w:rsid w:val="00291FB6"/>
    <w:rsid w:val="00293994"/>
    <w:rsid w:val="002D131D"/>
    <w:rsid w:val="002D68BD"/>
    <w:rsid w:val="002E58FC"/>
    <w:rsid w:val="002F329A"/>
    <w:rsid w:val="002F6994"/>
    <w:rsid w:val="003106A2"/>
    <w:rsid w:val="003132A1"/>
    <w:rsid w:val="00317898"/>
    <w:rsid w:val="00317B19"/>
    <w:rsid w:val="003316DD"/>
    <w:rsid w:val="00332D9C"/>
    <w:rsid w:val="0034230D"/>
    <w:rsid w:val="00342AF6"/>
    <w:rsid w:val="00346820"/>
    <w:rsid w:val="00350A35"/>
    <w:rsid w:val="00353D4A"/>
    <w:rsid w:val="00382AF0"/>
    <w:rsid w:val="0038594C"/>
    <w:rsid w:val="003A1C30"/>
    <w:rsid w:val="003A6E87"/>
    <w:rsid w:val="003B2047"/>
    <w:rsid w:val="003B2DBA"/>
    <w:rsid w:val="003C6E86"/>
    <w:rsid w:val="003D55F3"/>
    <w:rsid w:val="003E25C7"/>
    <w:rsid w:val="003E2DCE"/>
    <w:rsid w:val="003E4C6D"/>
    <w:rsid w:val="003E582C"/>
    <w:rsid w:val="003E6B51"/>
    <w:rsid w:val="003F03ED"/>
    <w:rsid w:val="003F2BED"/>
    <w:rsid w:val="003F7D28"/>
    <w:rsid w:val="00400C79"/>
    <w:rsid w:val="00406238"/>
    <w:rsid w:val="004113CE"/>
    <w:rsid w:val="004220C5"/>
    <w:rsid w:val="00440644"/>
    <w:rsid w:val="004406D3"/>
    <w:rsid w:val="00443A1E"/>
    <w:rsid w:val="00444DFA"/>
    <w:rsid w:val="00460BDA"/>
    <w:rsid w:val="00462A0B"/>
    <w:rsid w:val="00467C3F"/>
    <w:rsid w:val="00470B4D"/>
    <w:rsid w:val="00496B5D"/>
    <w:rsid w:val="004A046A"/>
    <w:rsid w:val="004A1C48"/>
    <w:rsid w:val="004A7B74"/>
    <w:rsid w:val="004C6D6D"/>
    <w:rsid w:val="004D3109"/>
    <w:rsid w:val="004D623E"/>
    <w:rsid w:val="004F0100"/>
    <w:rsid w:val="00511337"/>
    <w:rsid w:val="00512790"/>
    <w:rsid w:val="0051308B"/>
    <w:rsid w:val="005207A3"/>
    <w:rsid w:val="005303DB"/>
    <w:rsid w:val="0054727C"/>
    <w:rsid w:val="005519C3"/>
    <w:rsid w:val="00553CFA"/>
    <w:rsid w:val="00555551"/>
    <w:rsid w:val="00563CFE"/>
    <w:rsid w:val="00581BD2"/>
    <w:rsid w:val="00586F48"/>
    <w:rsid w:val="0059307E"/>
    <w:rsid w:val="00594B57"/>
    <w:rsid w:val="005A0930"/>
    <w:rsid w:val="005A4530"/>
    <w:rsid w:val="005A5FB2"/>
    <w:rsid w:val="005A779A"/>
    <w:rsid w:val="005B2E7A"/>
    <w:rsid w:val="005B408F"/>
    <w:rsid w:val="005B4F0A"/>
    <w:rsid w:val="005B64E5"/>
    <w:rsid w:val="005B70EF"/>
    <w:rsid w:val="005D276C"/>
    <w:rsid w:val="005D2E15"/>
    <w:rsid w:val="005D5907"/>
    <w:rsid w:val="005E2596"/>
    <w:rsid w:val="005E4DB8"/>
    <w:rsid w:val="00604599"/>
    <w:rsid w:val="0061097B"/>
    <w:rsid w:val="00611126"/>
    <w:rsid w:val="0061757E"/>
    <w:rsid w:val="006236D8"/>
    <w:rsid w:val="00625FB2"/>
    <w:rsid w:val="00630891"/>
    <w:rsid w:val="006316DE"/>
    <w:rsid w:val="00633B52"/>
    <w:rsid w:val="00634B39"/>
    <w:rsid w:val="00634F2A"/>
    <w:rsid w:val="00643DCA"/>
    <w:rsid w:val="00651160"/>
    <w:rsid w:val="006708D2"/>
    <w:rsid w:val="00671734"/>
    <w:rsid w:val="006738BC"/>
    <w:rsid w:val="00677658"/>
    <w:rsid w:val="006A3C4F"/>
    <w:rsid w:val="006B1C00"/>
    <w:rsid w:val="006B316F"/>
    <w:rsid w:val="006E56F1"/>
    <w:rsid w:val="006F043B"/>
    <w:rsid w:val="006F11EB"/>
    <w:rsid w:val="006F1D51"/>
    <w:rsid w:val="006F5086"/>
    <w:rsid w:val="0070279B"/>
    <w:rsid w:val="00703F9D"/>
    <w:rsid w:val="0071360B"/>
    <w:rsid w:val="00714367"/>
    <w:rsid w:val="00714F72"/>
    <w:rsid w:val="007201AE"/>
    <w:rsid w:val="007372B5"/>
    <w:rsid w:val="00742558"/>
    <w:rsid w:val="00751147"/>
    <w:rsid w:val="00761C8C"/>
    <w:rsid w:val="00764813"/>
    <w:rsid w:val="00765327"/>
    <w:rsid w:val="007706C9"/>
    <w:rsid w:val="00771D6E"/>
    <w:rsid w:val="00772CA5"/>
    <w:rsid w:val="0078108B"/>
    <w:rsid w:val="0078795E"/>
    <w:rsid w:val="00787DEB"/>
    <w:rsid w:val="007906A1"/>
    <w:rsid w:val="00797A82"/>
    <w:rsid w:val="007A6430"/>
    <w:rsid w:val="007B0B28"/>
    <w:rsid w:val="007C315C"/>
    <w:rsid w:val="007C34FE"/>
    <w:rsid w:val="007C5837"/>
    <w:rsid w:val="007D00E4"/>
    <w:rsid w:val="007D4021"/>
    <w:rsid w:val="007D556C"/>
    <w:rsid w:val="007E3C6F"/>
    <w:rsid w:val="007F3166"/>
    <w:rsid w:val="0080149A"/>
    <w:rsid w:val="0080389D"/>
    <w:rsid w:val="00803AA4"/>
    <w:rsid w:val="00823A6E"/>
    <w:rsid w:val="00827268"/>
    <w:rsid w:val="008500CC"/>
    <w:rsid w:val="00853F43"/>
    <w:rsid w:val="0086142A"/>
    <w:rsid w:val="00861CBD"/>
    <w:rsid w:val="008629A8"/>
    <w:rsid w:val="00863B70"/>
    <w:rsid w:val="00865B2C"/>
    <w:rsid w:val="00873B89"/>
    <w:rsid w:val="00884FEA"/>
    <w:rsid w:val="0088556D"/>
    <w:rsid w:val="00891297"/>
    <w:rsid w:val="008A1848"/>
    <w:rsid w:val="008A4914"/>
    <w:rsid w:val="008B00E8"/>
    <w:rsid w:val="008B09F2"/>
    <w:rsid w:val="008C09B2"/>
    <w:rsid w:val="008C61D0"/>
    <w:rsid w:val="008C726D"/>
    <w:rsid w:val="008E36AE"/>
    <w:rsid w:val="008E7FD8"/>
    <w:rsid w:val="00902436"/>
    <w:rsid w:val="0090616E"/>
    <w:rsid w:val="009064F6"/>
    <w:rsid w:val="009106AE"/>
    <w:rsid w:val="009167F3"/>
    <w:rsid w:val="00916EAF"/>
    <w:rsid w:val="00924DE6"/>
    <w:rsid w:val="00937E61"/>
    <w:rsid w:val="009419ED"/>
    <w:rsid w:val="009542CA"/>
    <w:rsid w:val="00960161"/>
    <w:rsid w:val="00986518"/>
    <w:rsid w:val="0098742A"/>
    <w:rsid w:val="009C04B9"/>
    <w:rsid w:val="009C102A"/>
    <w:rsid w:val="009C2A47"/>
    <w:rsid w:val="009C3F3F"/>
    <w:rsid w:val="009E703C"/>
    <w:rsid w:val="009E7639"/>
    <w:rsid w:val="00A05495"/>
    <w:rsid w:val="00A055AC"/>
    <w:rsid w:val="00A1392A"/>
    <w:rsid w:val="00A13D4E"/>
    <w:rsid w:val="00A147FA"/>
    <w:rsid w:val="00A16FB7"/>
    <w:rsid w:val="00A23087"/>
    <w:rsid w:val="00A40217"/>
    <w:rsid w:val="00A45322"/>
    <w:rsid w:val="00A508E1"/>
    <w:rsid w:val="00A57100"/>
    <w:rsid w:val="00A57C73"/>
    <w:rsid w:val="00A630E4"/>
    <w:rsid w:val="00A676A9"/>
    <w:rsid w:val="00A72837"/>
    <w:rsid w:val="00A7335C"/>
    <w:rsid w:val="00A74513"/>
    <w:rsid w:val="00A773BA"/>
    <w:rsid w:val="00A775DC"/>
    <w:rsid w:val="00A81CDD"/>
    <w:rsid w:val="00A90E37"/>
    <w:rsid w:val="00A96637"/>
    <w:rsid w:val="00A9667C"/>
    <w:rsid w:val="00AA1194"/>
    <w:rsid w:val="00AA1606"/>
    <w:rsid w:val="00AA4802"/>
    <w:rsid w:val="00AC3C6F"/>
    <w:rsid w:val="00AC5E98"/>
    <w:rsid w:val="00AE5CF4"/>
    <w:rsid w:val="00AE6360"/>
    <w:rsid w:val="00AF1333"/>
    <w:rsid w:val="00AF2EBE"/>
    <w:rsid w:val="00AF51EB"/>
    <w:rsid w:val="00B03D77"/>
    <w:rsid w:val="00B11B35"/>
    <w:rsid w:val="00B15C2A"/>
    <w:rsid w:val="00B162E1"/>
    <w:rsid w:val="00B20EFE"/>
    <w:rsid w:val="00B246A5"/>
    <w:rsid w:val="00B25791"/>
    <w:rsid w:val="00B25E0C"/>
    <w:rsid w:val="00B25E56"/>
    <w:rsid w:val="00B31173"/>
    <w:rsid w:val="00B32D64"/>
    <w:rsid w:val="00B401CB"/>
    <w:rsid w:val="00B40985"/>
    <w:rsid w:val="00B40F67"/>
    <w:rsid w:val="00B44DD1"/>
    <w:rsid w:val="00B4549A"/>
    <w:rsid w:val="00B525B2"/>
    <w:rsid w:val="00B530E8"/>
    <w:rsid w:val="00B6007B"/>
    <w:rsid w:val="00B65342"/>
    <w:rsid w:val="00B72A47"/>
    <w:rsid w:val="00B74E5B"/>
    <w:rsid w:val="00B75511"/>
    <w:rsid w:val="00B8128F"/>
    <w:rsid w:val="00B818FD"/>
    <w:rsid w:val="00B82584"/>
    <w:rsid w:val="00B93DD9"/>
    <w:rsid w:val="00B94832"/>
    <w:rsid w:val="00B95296"/>
    <w:rsid w:val="00B96B28"/>
    <w:rsid w:val="00BA1ED2"/>
    <w:rsid w:val="00BB79D5"/>
    <w:rsid w:val="00BD13F4"/>
    <w:rsid w:val="00BD2868"/>
    <w:rsid w:val="00BD5ECF"/>
    <w:rsid w:val="00BE186F"/>
    <w:rsid w:val="00BE22A0"/>
    <w:rsid w:val="00BF6A2D"/>
    <w:rsid w:val="00C15804"/>
    <w:rsid w:val="00C16C1F"/>
    <w:rsid w:val="00C21786"/>
    <w:rsid w:val="00C2723B"/>
    <w:rsid w:val="00C31151"/>
    <w:rsid w:val="00C511F4"/>
    <w:rsid w:val="00C656E9"/>
    <w:rsid w:val="00C70F2B"/>
    <w:rsid w:val="00C71BCA"/>
    <w:rsid w:val="00C727BD"/>
    <w:rsid w:val="00C736E5"/>
    <w:rsid w:val="00C80F0C"/>
    <w:rsid w:val="00C83BC6"/>
    <w:rsid w:val="00C84FCC"/>
    <w:rsid w:val="00C92618"/>
    <w:rsid w:val="00C94E5F"/>
    <w:rsid w:val="00CA3ACA"/>
    <w:rsid w:val="00CA6D78"/>
    <w:rsid w:val="00CB07BD"/>
    <w:rsid w:val="00CB2EB8"/>
    <w:rsid w:val="00CB3ABD"/>
    <w:rsid w:val="00CB611F"/>
    <w:rsid w:val="00CC4DAC"/>
    <w:rsid w:val="00CC5B83"/>
    <w:rsid w:val="00CC6860"/>
    <w:rsid w:val="00CC76BE"/>
    <w:rsid w:val="00CC7F7D"/>
    <w:rsid w:val="00CD7661"/>
    <w:rsid w:val="00CE14D5"/>
    <w:rsid w:val="00CE1D6C"/>
    <w:rsid w:val="00CF1832"/>
    <w:rsid w:val="00CF5DFA"/>
    <w:rsid w:val="00CF7460"/>
    <w:rsid w:val="00D013DA"/>
    <w:rsid w:val="00D06F2E"/>
    <w:rsid w:val="00D23358"/>
    <w:rsid w:val="00D32BB2"/>
    <w:rsid w:val="00D377CD"/>
    <w:rsid w:val="00D40877"/>
    <w:rsid w:val="00D42FF7"/>
    <w:rsid w:val="00D54341"/>
    <w:rsid w:val="00D613C4"/>
    <w:rsid w:val="00D617A8"/>
    <w:rsid w:val="00D643FD"/>
    <w:rsid w:val="00D65EB7"/>
    <w:rsid w:val="00D66544"/>
    <w:rsid w:val="00D76C97"/>
    <w:rsid w:val="00D813F0"/>
    <w:rsid w:val="00D95552"/>
    <w:rsid w:val="00D975D1"/>
    <w:rsid w:val="00DA07B4"/>
    <w:rsid w:val="00DA111E"/>
    <w:rsid w:val="00DC0263"/>
    <w:rsid w:val="00DC1DF4"/>
    <w:rsid w:val="00DD0D20"/>
    <w:rsid w:val="00DD1820"/>
    <w:rsid w:val="00DF33D7"/>
    <w:rsid w:val="00E005EB"/>
    <w:rsid w:val="00E01C77"/>
    <w:rsid w:val="00E1121B"/>
    <w:rsid w:val="00E21904"/>
    <w:rsid w:val="00E25625"/>
    <w:rsid w:val="00E25FCC"/>
    <w:rsid w:val="00E270CD"/>
    <w:rsid w:val="00E37EED"/>
    <w:rsid w:val="00E4051F"/>
    <w:rsid w:val="00E40F82"/>
    <w:rsid w:val="00E41599"/>
    <w:rsid w:val="00E447B7"/>
    <w:rsid w:val="00E44A81"/>
    <w:rsid w:val="00E4622F"/>
    <w:rsid w:val="00E47506"/>
    <w:rsid w:val="00E55C2B"/>
    <w:rsid w:val="00E61595"/>
    <w:rsid w:val="00E644B8"/>
    <w:rsid w:val="00E76FE7"/>
    <w:rsid w:val="00E90B0A"/>
    <w:rsid w:val="00E97458"/>
    <w:rsid w:val="00EA22C2"/>
    <w:rsid w:val="00EB0D70"/>
    <w:rsid w:val="00ED430B"/>
    <w:rsid w:val="00EE2850"/>
    <w:rsid w:val="00EE4401"/>
    <w:rsid w:val="00EF042A"/>
    <w:rsid w:val="00EF0B52"/>
    <w:rsid w:val="00EF2898"/>
    <w:rsid w:val="00F10CDA"/>
    <w:rsid w:val="00F22E11"/>
    <w:rsid w:val="00F34592"/>
    <w:rsid w:val="00F36E7E"/>
    <w:rsid w:val="00F46129"/>
    <w:rsid w:val="00F61F0A"/>
    <w:rsid w:val="00F6359A"/>
    <w:rsid w:val="00F6529C"/>
    <w:rsid w:val="00F72B57"/>
    <w:rsid w:val="00F875D9"/>
    <w:rsid w:val="00F97491"/>
    <w:rsid w:val="00FB7604"/>
    <w:rsid w:val="00FC0087"/>
    <w:rsid w:val="00FD6AD3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9BC"/>
    <w:pPr>
      <w:spacing w:before="120" w:after="120" w:line="240" w:lineRule="auto"/>
      <w:ind w:left="851"/>
      <w:jc w:val="both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5A5FB2"/>
    <w:pPr>
      <w:keepNext/>
      <w:keepLines/>
      <w:numPr>
        <w:numId w:val="1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B11B35"/>
    <w:pPr>
      <w:numPr>
        <w:ilvl w:val="1"/>
      </w:numPr>
      <w:spacing w:before="240" w:after="120"/>
      <w:ind w:left="851" w:hanging="851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5A5FB2"/>
    <w:pPr>
      <w:numPr>
        <w:ilvl w:val="2"/>
        <w:numId w:val="1"/>
      </w:numPr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5A5FB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1C3659"/>
    <w:pPr>
      <w:jc w:val="left"/>
      <w:outlineLvl w:val="4"/>
    </w:pPr>
    <w:rPr>
      <w:rFonts w:cstheme="majorBidi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5A5FB2"/>
  </w:style>
  <w:style w:type="character" w:customStyle="1" w:styleId="Nadpis1Char">
    <w:name w:val="Nadpis 1 Char"/>
    <w:basedOn w:val="Standardnpsmoodstavce"/>
    <w:link w:val="Nadpis1"/>
    <w:uiPriority w:val="9"/>
    <w:rsid w:val="005A5FB2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11B35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A5FB2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5A5FB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1C3659"/>
    <w:rPr>
      <w:rFonts w:ascii="Gotham Book" w:hAnsi="Gotham Book" w:cstheme="majorBidi"/>
      <w:b/>
      <w:color w:val="000000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5A5FB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A13D4E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qFormat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qFormat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  <w:jc w:val="left"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qFormat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qFormat/>
    <w:rsid w:val="00CC6860"/>
    <w:pPr>
      <w:keepLines w:val="0"/>
      <w:numPr>
        <w:ilvl w:val="0"/>
        <w:numId w:val="0"/>
      </w:numPr>
      <w:spacing w:after="60"/>
      <w:jc w:val="left"/>
    </w:pPr>
    <w:rPr>
      <w:rFonts w:ascii="Cambria" w:eastAsia="Times New Roman" w:hAnsi="Cambria" w:cs="Times New Roman"/>
      <w:b/>
      <w:bCs/>
      <w:i/>
      <w:iCs/>
      <w:color w:val="auto"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Odstavec Char"/>
    <w:link w:val="Odstavecseseznamem"/>
    <w:uiPriority w:val="34"/>
    <w:rsid w:val="00D54341"/>
    <w:rPr>
      <w:rFonts w:ascii="Gotham Book" w:hAnsi="Gotham Book"/>
      <w:sz w:val="20"/>
    </w:rPr>
  </w:style>
  <w:style w:type="paragraph" w:customStyle="1" w:styleId="l4">
    <w:name w:val="l4"/>
    <w:basedOn w:val="Normln"/>
    <w:rsid w:val="00F10CD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10C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292CB-8459-4624-9E90-2CCBE4CD3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2434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Pavel Bainar</cp:lastModifiedBy>
  <cp:revision>7</cp:revision>
  <cp:lastPrinted>2021-10-01T08:12:00Z</cp:lastPrinted>
  <dcterms:created xsi:type="dcterms:W3CDTF">2020-12-11T09:20:00Z</dcterms:created>
  <dcterms:modified xsi:type="dcterms:W3CDTF">2021-10-01T08:15:00Z</dcterms:modified>
</cp:coreProperties>
</file>